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9948AA6" w:rsidR="00F17F5E" w:rsidRDefault="00F17F5E" w:rsidP="00F17F5E">
      <w:pPr>
        <w:pStyle w:val="3GPPHeader"/>
        <w:spacing w:after="60"/>
      </w:pPr>
      <w:r>
        <w:t>3GPP TSG-RAN WG1 Meeting #</w:t>
      </w:r>
      <w:r w:rsidR="00D53AC8">
        <w:t>1</w:t>
      </w:r>
      <w:r w:rsidR="00315606">
        <w:t>10</w:t>
      </w:r>
      <w:r w:rsidR="00D44223">
        <w:t>-bis-e</w:t>
      </w:r>
      <w:r>
        <w:tab/>
      </w:r>
      <w:r w:rsidR="003869DB" w:rsidRPr="003869DB">
        <w:t>R1-</w:t>
      </w:r>
      <w:r w:rsidR="00FB752A" w:rsidRPr="00FB752A">
        <w:t>2210071</w:t>
      </w:r>
    </w:p>
    <w:p w14:paraId="492457AB" w14:textId="2126A8DD" w:rsidR="00B0348E" w:rsidRPr="00CB5CA6" w:rsidRDefault="0028640C" w:rsidP="00F17F5E">
      <w:pPr>
        <w:pStyle w:val="3GPPHeader"/>
        <w:spacing w:after="60"/>
      </w:pPr>
      <w:r>
        <w:t>e-Meeting,</w:t>
      </w:r>
      <w:r w:rsidRPr="00D53AC8">
        <w:t xml:space="preserve"> </w:t>
      </w:r>
      <w:r>
        <w:t>October</w:t>
      </w:r>
      <w:r w:rsidRPr="00B75A02">
        <w:t xml:space="preserve"> </w:t>
      </w:r>
      <w:r>
        <w:t>10</w:t>
      </w:r>
      <w:r>
        <w:rPr>
          <w:vertAlign w:val="superscript"/>
        </w:rPr>
        <w:t>th</w:t>
      </w:r>
      <w:r w:rsidRPr="00B75A02">
        <w:t xml:space="preserve"> – </w:t>
      </w:r>
      <w:r>
        <w:t>19</w:t>
      </w:r>
      <w:r>
        <w:rPr>
          <w:vertAlign w:val="superscript"/>
        </w:rPr>
        <w:t>th</w:t>
      </w:r>
      <w:r w:rsidRPr="00B75A02">
        <w:t>, 202</w:t>
      </w:r>
      <w:r>
        <w:t>2</w:t>
      </w:r>
    </w:p>
    <w:p w14:paraId="60A5317D" w14:textId="77777777" w:rsidR="00E90E49" w:rsidRPr="00CB5CA6" w:rsidRDefault="00E90E49" w:rsidP="00357380">
      <w:pPr>
        <w:pStyle w:val="3GPPHeader"/>
      </w:pPr>
    </w:p>
    <w:p w14:paraId="3C6869D1" w14:textId="47A1E33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sidRPr="00061729">
        <w:rPr>
          <w:sz w:val="22"/>
          <w:szCs w:val="22"/>
          <w:lang w:val="en-US"/>
        </w:rPr>
        <w:t>9</w:t>
      </w:r>
      <w:r w:rsidR="00615904" w:rsidRPr="00061729">
        <w:rPr>
          <w:sz w:val="22"/>
          <w:szCs w:val="22"/>
          <w:lang w:val="en-US"/>
        </w:rPr>
        <w:t>.</w:t>
      </w:r>
      <w:r w:rsidR="002618B1" w:rsidRPr="00061729">
        <w:rPr>
          <w:sz w:val="22"/>
          <w:szCs w:val="22"/>
          <w:lang w:val="en-US"/>
        </w:rPr>
        <w:t>1</w:t>
      </w:r>
      <w:r w:rsidR="00061729" w:rsidRPr="00061729">
        <w:rPr>
          <w:sz w:val="22"/>
          <w:szCs w:val="22"/>
          <w:lang w:val="en-US"/>
        </w:rPr>
        <w:t>1</w:t>
      </w:r>
      <w:r w:rsidR="00615904" w:rsidRPr="00061729">
        <w:rPr>
          <w:sz w:val="22"/>
          <w:szCs w:val="22"/>
          <w:lang w:val="en-US"/>
        </w:rPr>
        <w:t>.</w:t>
      </w:r>
      <w:r w:rsidR="002E1DA4" w:rsidRPr="00061729">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4.1.1</w:t>
            </w:r>
            <w:r w:rsidRPr="008341AC">
              <w:rPr>
                <w:rFonts w:eastAsia="Times New Roman"/>
                <w:sz w:val="14"/>
                <w:szCs w:val="14"/>
                <w:lang w:eastAsia="zh-TW"/>
              </w:rPr>
              <w:tab/>
              <w:t>IoT-NTN Performance Enhancements in Rel-18 to address remaining issues from Rel-17</w:t>
            </w:r>
          </w:p>
          <w:p w14:paraId="4176E334"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This work considers Rel-17 IoT-NTN as baseline as well as Rel-17 NR-NTN outcome and the further IoT-NTN performance enhancements objectives are listed below:</w:t>
            </w:r>
          </w:p>
          <w:p w14:paraId="08F7283F"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Disabling of HARQ feedback to mitigate impact of HARQ stalling on UE data rates [RAN1,RAN2]</w:t>
            </w:r>
          </w:p>
          <w:p w14:paraId="0CCFB103"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 xml:space="preserve">Study and specify, if needed, improved GNSS operations for a new position fix for UE pre-compensation during long connection times and for reduced power consumption. </w:t>
            </w:r>
            <w:r w:rsidRPr="008341AC">
              <w:rPr>
                <w:rFonts w:eastAsia="Times New Roman"/>
                <w:sz w:val="14"/>
                <w:szCs w:val="14"/>
                <w:lang w:eastAsia="zh-CN"/>
              </w:rPr>
              <w:t>Simultaneous GNSS and NTN NB-IoT/eMTC operation is not assumed.</w:t>
            </w:r>
            <w:r w:rsidRPr="008341AC">
              <w:rPr>
                <w:rFonts w:eastAsia="Times New Roman"/>
                <w:sz w:val="14"/>
                <w:szCs w:val="14"/>
                <w:lang w:eastAsia="zh-TW"/>
              </w:rPr>
              <w:t xml:space="preserve"> [RAN1]</w:t>
            </w:r>
          </w:p>
          <w:p w14:paraId="1D9EE38E" w14:textId="16C67571" w:rsidR="00E12127" w:rsidRDefault="00E12127" w:rsidP="00B213B9">
            <w:pPr>
              <w:pStyle w:val="BodyText"/>
              <w:numPr>
                <w:ilvl w:val="0"/>
                <w:numId w:val="17"/>
              </w:numPr>
              <w:rPr>
                <w:rFonts w:ascii="Times New Roman" w:hAnsi="Times New Roman"/>
              </w:rPr>
            </w:pPr>
            <w:r w:rsidRPr="008341AC">
              <w:rPr>
                <w:rFonts w:ascii="Times New Roman" w:eastAsia="Times New Roman" w:hAnsi="Times New Roman"/>
                <w:i/>
                <w:sz w:val="14"/>
                <w:szCs w:val="14"/>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53665563" w14:textId="60DE634B" w:rsidR="00950592" w:rsidRDefault="0028640C" w:rsidP="00950592">
      <w:pPr>
        <w:pStyle w:val="Heading1"/>
      </w:pPr>
      <w:r>
        <w:t>2</w:t>
      </w:r>
      <w:r w:rsidR="00950592">
        <w:tab/>
      </w:r>
      <w:r w:rsidR="00345AEC">
        <w:t>Follow-up: “</w:t>
      </w:r>
      <w:r w:rsidR="00345AEC" w:rsidRPr="003048E2">
        <w:rPr>
          <w:rFonts w:ascii="Times New Roman" w:hAnsi="Times New Roman"/>
          <w:i/>
          <w:iCs/>
        </w:rPr>
        <w:t>to configure/indicate enabling/disabling on HARQ feedback for downlink transmission</w:t>
      </w:r>
      <w:r w:rsidR="00345AEC">
        <w:t>”</w:t>
      </w:r>
    </w:p>
    <w:p w14:paraId="7775DEAC" w14:textId="6122D0D6" w:rsidR="00950592" w:rsidRDefault="00345AEC" w:rsidP="00950592">
      <w:pPr>
        <w:pStyle w:val="BodyText"/>
        <w:rPr>
          <w:rFonts w:ascii="Times New Roman" w:hAnsi="Times New Roman"/>
          <w:lang w:eastAsia="ja-JP"/>
        </w:rPr>
      </w:pPr>
      <w:r>
        <w:rPr>
          <w:rFonts w:ascii="Times New Roman" w:hAnsi="Times New Roman"/>
          <w:lang w:eastAsia="ja-JP"/>
        </w:rPr>
        <w:t>In RAN1# 109-e, the following agreement was reached touching upon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w:t>
      </w:r>
      <w:r w:rsidR="0032672E">
        <w:rPr>
          <w:rFonts w:ascii="Times New Roman" w:hAnsi="Times New Roman"/>
          <w:lang w:eastAsia="ja-JP"/>
        </w:rPr>
        <w:t xml:space="preserve"> [2]</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345AEC" w14:paraId="33A6EF5E" w14:textId="77777777" w:rsidTr="00345AEC">
        <w:tc>
          <w:tcPr>
            <w:tcW w:w="9629" w:type="dxa"/>
          </w:tcPr>
          <w:p w14:paraId="3A043D52" w14:textId="77777777" w:rsidR="00345AEC" w:rsidRPr="00345AEC" w:rsidRDefault="00345AEC" w:rsidP="00345AEC">
            <w:pPr>
              <w:rPr>
                <w:rFonts w:cs="Times"/>
                <w:b/>
                <w:bCs/>
                <w:sz w:val="14"/>
                <w:szCs w:val="12"/>
              </w:rPr>
            </w:pPr>
            <w:r w:rsidRPr="00345AEC">
              <w:rPr>
                <w:rFonts w:cs="Times"/>
                <w:b/>
                <w:bCs/>
                <w:sz w:val="14"/>
                <w:szCs w:val="12"/>
                <w:highlight w:val="green"/>
                <w:lang w:eastAsia="zh-CN"/>
              </w:rPr>
              <w:t>Agreement</w:t>
            </w:r>
          </w:p>
          <w:p w14:paraId="4FB14776" w14:textId="77777777" w:rsidR="00345AEC" w:rsidRPr="00345AEC" w:rsidRDefault="00345AEC" w:rsidP="00345AEC">
            <w:pPr>
              <w:rPr>
                <w:rFonts w:cs="Times"/>
                <w:sz w:val="14"/>
                <w:szCs w:val="12"/>
                <w:lang w:eastAsia="zh-CN"/>
              </w:rPr>
            </w:pPr>
            <w:r w:rsidRPr="00345AEC">
              <w:rPr>
                <w:rFonts w:cs="Times"/>
                <w:color w:val="000000"/>
                <w:sz w:val="14"/>
                <w:szCs w:val="12"/>
                <w:lang w:eastAsia="zh-CN"/>
              </w:rPr>
              <w:t xml:space="preserve">For IoT NTN, to configure/indicate </w:t>
            </w:r>
            <w:r w:rsidRPr="00345AEC">
              <w:rPr>
                <w:rFonts w:cs="Times"/>
                <w:sz w:val="14"/>
                <w:szCs w:val="12"/>
                <w:lang w:eastAsia="zh-CN"/>
              </w:rPr>
              <w:t xml:space="preserve">enabling/disabling on </w:t>
            </w:r>
            <w:r w:rsidRPr="00345AEC">
              <w:rPr>
                <w:rFonts w:cs="Times"/>
                <w:sz w:val="14"/>
                <w:szCs w:val="12"/>
              </w:rPr>
              <w:t xml:space="preserve">HARQ feedback </w:t>
            </w:r>
            <w:r w:rsidRPr="00345AEC">
              <w:rPr>
                <w:rFonts w:cs="Times"/>
                <w:sz w:val="14"/>
                <w:szCs w:val="12"/>
                <w:lang w:eastAsia="zh-CN"/>
              </w:rPr>
              <w:t>for downlink transmission, one or more of the following options can be considered:</w:t>
            </w:r>
          </w:p>
          <w:p w14:paraId="5F0F4E16"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1: per HARQ process via UE specific RRC signaling</w:t>
            </w:r>
          </w:p>
          <w:p w14:paraId="6933821F" w14:textId="77777777" w:rsidR="00345AEC" w:rsidRPr="00341BB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sv-SE" w:eastAsia="ja-JP"/>
              </w:rPr>
            </w:pPr>
            <w:r w:rsidRPr="00341BBC">
              <w:rPr>
                <w:rFonts w:eastAsia="MS PGothic" w:cs="Times"/>
                <w:sz w:val="14"/>
                <w:szCs w:val="12"/>
                <w:lang w:val="sv-SE" w:eastAsia="ja-JP"/>
              </w:rPr>
              <w:t>Option 2: per HARQ process via SIB signaling</w:t>
            </w:r>
          </w:p>
          <w:p w14:paraId="7813E12F"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3: explicitly indicated by DCI (e.g., new field or reusing existing field)</w:t>
            </w:r>
          </w:p>
          <w:p w14:paraId="2DB2C6EE"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4: implicitly determined by existing configured/indicated parameter(s) (e.g., repetition number, TBS)</w:t>
            </w:r>
          </w:p>
          <w:p w14:paraId="3E865FDE"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5: per HARQ process via MAC CE</w:t>
            </w:r>
          </w:p>
          <w:p w14:paraId="4418A575"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Other options or combinations are not excluded</w:t>
            </w:r>
          </w:p>
          <w:p w14:paraId="316CBD4D" w14:textId="16889377" w:rsidR="00345AEC" w:rsidRPr="00345AEC" w:rsidRDefault="00345AEC" w:rsidP="00345AEC">
            <w:pPr>
              <w:rPr>
                <w:rFonts w:cs="Times"/>
                <w:szCs w:val="20"/>
                <w:lang w:eastAsia="zh-CN"/>
              </w:rPr>
            </w:pPr>
            <w:r w:rsidRPr="00345AEC">
              <w:rPr>
                <w:rFonts w:cs="Times"/>
                <w:sz w:val="14"/>
                <w:szCs w:val="12"/>
                <w:lang w:eastAsia="zh-CN"/>
              </w:rPr>
              <w:t>Note: Option(s) for eMTC and NBIoT can be separately discussed.</w:t>
            </w:r>
          </w:p>
        </w:tc>
      </w:tr>
    </w:tbl>
    <w:p w14:paraId="68ACA0AC" w14:textId="40080053" w:rsidR="0028640C" w:rsidRDefault="0028640C" w:rsidP="0028640C">
      <w:pPr>
        <w:pStyle w:val="BodyText"/>
        <w:spacing w:before="120"/>
        <w:rPr>
          <w:rFonts w:ascii="Times New Roman" w:hAnsi="Times New Roman"/>
          <w:lang w:eastAsia="ja-JP"/>
        </w:rPr>
      </w:pPr>
      <w:r>
        <w:rPr>
          <w:rFonts w:ascii="Times New Roman" w:hAnsi="Times New Roman"/>
          <w:lang w:eastAsia="ja-JP"/>
        </w:rPr>
        <w:t>In RAN1# 110, the agreement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 further evolved as follows</w:t>
      </w:r>
      <w:r w:rsidR="0032672E">
        <w:rPr>
          <w:rFonts w:ascii="Times New Roman" w:hAnsi="Times New Roman"/>
          <w:lang w:eastAsia="ja-JP"/>
        </w:rPr>
        <w:t xml:space="preserve"> [3]</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673"/>
        <w:gridCol w:w="4956"/>
      </w:tblGrid>
      <w:tr w:rsidR="0028640C" w:rsidRPr="00654CEF" w14:paraId="6FA028CB" w14:textId="77777777" w:rsidTr="00704657">
        <w:tc>
          <w:tcPr>
            <w:tcW w:w="4673" w:type="dxa"/>
          </w:tcPr>
          <w:p w14:paraId="419CC8B7" w14:textId="77777777" w:rsidR="0028640C" w:rsidRPr="00654CEF" w:rsidRDefault="0028640C" w:rsidP="00704657">
            <w:pPr>
              <w:pStyle w:val="BodyText"/>
              <w:spacing w:before="120"/>
              <w:jc w:val="center"/>
              <w:rPr>
                <w:rFonts w:ascii="Times New Roman" w:hAnsi="Times New Roman"/>
                <w:sz w:val="18"/>
                <w:szCs w:val="18"/>
                <w:lang w:eastAsia="ja-JP"/>
              </w:rPr>
            </w:pPr>
            <w:r w:rsidRPr="00654CEF">
              <w:rPr>
                <w:rFonts w:ascii="Times New Roman" w:hAnsi="Times New Roman"/>
                <w:sz w:val="18"/>
                <w:szCs w:val="18"/>
                <w:lang w:eastAsia="ja-JP"/>
              </w:rPr>
              <w:t>LTE-MTC</w:t>
            </w:r>
          </w:p>
        </w:tc>
        <w:tc>
          <w:tcPr>
            <w:tcW w:w="4956" w:type="dxa"/>
          </w:tcPr>
          <w:p w14:paraId="36CCF357" w14:textId="77777777" w:rsidR="0028640C" w:rsidRPr="00654CEF" w:rsidRDefault="0028640C" w:rsidP="00704657">
            <w:pPr>
              <w:pStyle w:val="BodyText"/>
              <w:spacing w:before="120"/>
              <w:jc w:val="center"/>
              <w:rPr>
                <w:rFonts w:ascii="Times New Roman" w:hAnsi="Times New Roman"/>
                <w:sz w:val="18"/>
                <w:szCs w:val="18"/>
                <w:lang w:eastAsia="ja-JP"/>
              </w:rPr>
            </w:pPr>
            <w:r w:rsidRPr="00654CEF">
              <w:rPr>
                <w:rFonts w:ascii="Times New Roman" w:hAnsi="Times New Roman"/>
                <w:sz w:val="18"/>
                <w:szCs w:val="18"/>
                <w:lang w:eastAsia="ja-JP"/>
              </w:rPr>
              <w:t>NB-IoT</w:t>
            </w:r>
          </w:p>
        </w:tc>
      </w:tr>
      <w:tr w:rsidR="0028640C" w:rsidRPr="00654CEF" w14:paraId="74B1D3A4" w14:textId="77777777" w:rsidTr="00704657">
        <w:tc>
          <w:tcPr>
            <w:tcW w:w="4673" w:type="dxa"/>
          </w:tcPr>
          <w:p w14:paraId="6E49EBEE" w14:textId="77777777" w:rsidR="0028640C" w:rsidRDefault="0028640C" w:rsidP="00704657">
            <w:pPr>
              <w:overflowPunct/>
              <w:autoSpaceDE/>
              <w:autoSpaceDN/>
              <w:adjustRightInd/>
              <w:spacing w:after="0"/>
              <w:textAlignment w:val="auto"/>
              <w:rPr>
                <w:rFonts w:ascii="Times" w:eastAsia="Batang" w:hAnsi="Times"/>
                <w:b/>
                <w:bCs/>
                <w:iCs/>
                <w:sz w:val="14"/>
                <w:szCs w:val="14"/>
                <w:lang w:val="en-US" w:eastAsia="x-none"/>
              </w:rPr>
            </w:pPr>
            <w:r w:rsidRPr="00654CEF">
              <w:rPr>
                <w:rFonts w:ascii="Times" w:eastAsia="Batang" w:hAnsi="Times"/>
                <w:b/>
                <w:bCs/>
                <w:iCs/>
                <w:sz w:val="14"/>
                <w:szCs w:val="14"/>
                <w:highlight w:val="green"/>
                <w:lang w:val="en-US" w:eastAsia="x-none"/>
              </w:rPr>
              <w:t>Agreement</w:t>
            </w:r>
          </w:p>
          <w:p w14:paraId="24ECF0CA" w14:textId="77777777" w:rsidR="0028640C" w:rsidRPr="00654CEF" w:rsidRDefault="0028640C" w:rsidP="00704657">
            <w:pPr>
              <w:overflowPunct/>
              <w:autoSpaceDE/>
              <w:autoSpaceDN/>
              <w:adjustRightInd/>
              <w:spacing w:after="0"/>
              <w:textAlignment w:val="auto"/>
              <w:rPr>
                <w:rFonts w:ascii="Times" w:eastAsia="Batang" w:hAnsi="Times"/>
                <w:b/>
                <w:bCs/>
                <w:iCs/>
                <w:sz w:val="14"/>
                <w:szCs w:val="14"/>
                <w:lang w:val="en-US" w:eastAsia="x-none"/>
              </w:rPr>
            </w:pPr>
          </w:p>
          <w:p w14:paraId="30DE3B71" w14:textId="77777777" w:rsidR="0028640C" w:rsidRPr="00654CEF" w:rsidRDefault="0028640C" w:rsidP="00704657">
            <w:p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For eMTC NTN, to configure/indicate enabling/disabling of HARQ feedback for downlink transmission, down select one or more from the following options:</w:t>
            </w:r>
          </w:p>
          <w:p w14:paraId="589B3185" w14:textId="77777777" w:rsidR="0028640C" w:rsidRPr="00654CEF" w:rsidRDefault="0028640C" w:rsidP="00B213B9">
            <w:pPr>
              <w:numPr>
                <w:ilvl w:val="0"/>
                <w:numId w:val="21"/>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1: per HARQ process via UE specific RRC signaling.</w:t>
            </w:r>
          </w:p>
          <w:p w14:paraId="54C7A27E" w14:textId="77777777" w:rsidR="0028640C" w:rsidRPr="00654CEF" w:rsidRDefault="0028640C" w:rsidP="00B213B9">
            <w:pPr>
              <w:numPr>
                <w:ilvl w:val="0"/>
                <w:numId w:val="21"/>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3: explicitly indicated by DCI (e.g., new field or reusing existing field).</w:t>
            </w:r>
          </w:p>
          <w:p w14:paraId="09B19A30" w14:textId="77777777" w:rsidR="0028640C" w:rsidRPr="00654CEF" w:rsidRDefault="0028640C" w:rsidP="00B213B9">
            <w:pPr>
              <w:numPr>
                <w:ilvl w:val="0"/>
                <w:numId w:val="21"/>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lastRenderedPageBreak/>
              <w:t>Option 4: implicitly indicated by existing configured/indicated/combined parameter(s) in the DCI (e.g., repetition number, TBS)</w:t>
            </w:r>
          </w:p>
          <w:p w14:paraId="7D74D1D1" w14:textId="77777777" w:rsidR="0028640C" w:rsidRPr="00654CEF" w:rsidRDefault="0028640C" w:rsidP="00B213B9">
            <w:pPr>
              <w:numPr>
                <w:ilvl w:val="0"/>
                <w:numId w:val="21"/>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6: combinations of some options above.</w:t>
            </w:r>
          </w:p>
        </w:tc>
        <w:tc>
          <w:tcPr>
            <w:tcW w:w="4956" w:type="dxa"/>
          </w:tcPr>
          <w:p w14:paraId="05A2297A" w14:textId="77777777" w:rsidR="0028640C" w:rsidRDefault="0028640C" w:rsidP="00704657">
            <w:pPr>
              <w:rPr>
                <w:b/>
                <w:bCs/>
                <w:iCs/>
                <w:sz w:val="14"/>
                <w:szCs w:val="14"/>
                <w:lang w:val="en-US" w:eastAsia="x-none"/>
              </w:rPr>
            </w:pPr>
            <w:r w:rsidRPr="00654CEF">
              <w:rPr>
                <w:b/>
                <w:bCs/>
                <w:iCs/>
                <w:sz w:val="14"/>
                <w:szCs w:val="14"/>
                <w:highlight w:val="green"/>
                <w:lang w:val="en-US" w:eastAsia="x-none"/>
              </w:rPr>
              <w:lastRenderedPageBreak/>
              <w:t>Agreement</w:t>
            </w:r>
          </w:p>
          <w:p w14:paraId="391DEC30" w14:textId="77777777" w:rsidR="0028640C" w:rsidRPr="00654CEF" w:rsidRDefault="0028640C" w:rsidP="00704657">
            <w:pPr>
              <w:rPr>
                <w:b/>
                <w:bCs/>
                <w:iCs/>
                <w:sz w:val="14"/>
                <w:szCs w:val="14"/>
                <w:lang w:val="en-US" w:eastAsia="x-none"/>
              </w:rPr>
            </w:pPr>
            <w:r w:rsidRPr="00654CEF">
              <w:rPr>
                <w:sz w:val="14"/>
                <w:szCs w:val="14"/>
                <w:lang w:val="en-US" w:eastAsia="x-none"/>
              </w:rPr>
              <w:t>For NB-IoT NTN, to configure/indicate enabling/disabling of HARQ feedback for downlink transmission, down select one or more from the following options:</w:t>
            </w:r>
          </w:p>
          <w:p w14:paraId="4BFAB020" w14:textId="77777777" w:rsidR="0028640C" w:rsidRPr="00654CEF" w:rsidRDefault="0028640C" w:rsidP="00B213B9">
            <w:pPr>
              <w:numPr>
                <w:ilvl w:val="0"/>
                <w:numId w:val="21"/>
              </w:numPr>
              <w:overflowPunct/>
              <w:autoSpaceDE/>
              <w:autoSpaceDN/>
              <w:adjustRightInd/>
              <w:spacing w:after="0"/>
              <w:textAlignment w:val="auto"/>
              <w:rPr>
                <w:sz w:val="14"/>
                <w:szCs w:val="14"/>
                <w:lang w:val="en-US" w:eastAsia="x-none"/>
              </w:rPr>
            </w:pPr>
            <w:r w:rsidRPr="00654CEF">
              <w:rPr>
                <w:sz w:val="14"/>
                <w:szCs w:val="14"/>
                <w:lang w:val="en-US" w:eastAsia="x-none"/>
              </w:rPr>
              <w:t>Option 1: per HARQ process via UE specific RRC signaling</w:t>
            </w:r>
          </w:p>
          <w:p w14:paraId="6B43886D" w14:textId="77777777" w:rsidR="0028640C" w:rsidRPr="00654CEF" w:rsidRDefault="0028640C" w:rsidP="00B213B9">
            <w:pPr>
              <w:numPr>
                <w:ilvl w:val="0"/>
                <w:numId w:val="21"/>
              </w:numPr>
              <w:overflowPunct/>
              <w:autoSpaceDE/>
              <w:autoSpaceDN/>
              <w:adjustRightInd/>
              <w:spacing w:after="0"/>
              <w:textAlignment w:val="auto"/>
              <w:rPr>
                <w:sz w:val="14"/>
                <w:szCs w:val="14"/>
                <w:lang w:val="en-US" w:eastAsia="x-none"/>
              </w:rPr>
            </w:pPr>
            <w:r w:rsidRPr="00654CEF">
              <w:rPr>
                <w:sz w:val="14"/>
                <w:szCs w:val="14"/>
                <w:lang w:val="en-US" w:eastAsia="x-none"/>
              </w:rPr>
              <w:t>Option 3: explicitly indicated by DCI (e.g., new field or reusing existing field)</w:t>
            </w:r>
          </w:p>
          <w:p w14:paraId="18D59E68" w14:textId="77777777" w:rsidR="0028640C" w:rsidRPr="00654CEF" w:rsidRDefault="0028640C" w:rsidP="00B213B9">
            <w:pPr>
              <w:numPr>
                <w:ilvl w:val="0"/>
                <w:numId w:val="21"/>
              </w:numPr>
              <w:overflowPunct/>
              <w:autoSpaceDE/>
              <w:autoSpaceDN/>
              <w:adjustRightInd/>
              <w:spacing w:after="0"/>
              <w:textAlignment w:val="auto"/>
              <w:rPr>
                <w:sz w:val="14"/>
                <w:szCs w:val="14"/>
                <w:lang w:val="en-US" w:eastAsia="x-none"/>
              </w:rPr>
            </w:pPr>
            <w:r w:rsidRPr="00654CEF">
              <w:rPr>
                <w:sz w:val="14"/>
                <w:szCs w:val="14"/>
                <w:lang w:val="en-US" w:eastAsia="x-none"/>
              </w:rPr>
              <w:lastRenderedPageBreak/>
              <w:t>Option 4: implicitly indicated by existing configured/indicated/combined parameter(s) in the DCI (e.g., repetition number, TBS)</w:t>
            </w:r>
          </w:p>
          <w:p w14:paraId="427A9BA5" w14:textId="44D3D62F" w:rsidR="0028640C" w:rsidRPr="008341AC" w:rsidRDefault="0028640C" w:rsidP="008341AC">
            <w:pPr>
              <w:numPr>
                <w:ilvl w:val="0"/>
                <w:numId w:val="21"/>
              </w:numPr>
              <w:overflowPunct/>
              <w:autoSpaceDE/>
              <w:autoSpaceDN/>
              <w:adjustRightInd/>
              <w:spacing w:after="0"/>
              <w:textAlignment w:val="auto"/>
              <w:rPr>
                <w:sz w:val="14"/>
                <w:szCs w:val="14"/>
                <w:lang w:val="en-US" w:eastAsia="x-none"/>
              </w:rPr>
            </w:pPr>
            <w:r w:rsidRPr="00654CEF">
              <w:rPr>
                <w:sz w:val="14"/>
                <w:szCs w:val="14"/>
                <w:lang w:val="en-US" w:eastAsia="x-none"/>
              </w:rPr>
              <w:t>Option 6: combinations of some options above</w:t>
            </w:r>
          </w:p>
        </w:tc>
      </w:tr>
    </w:tbl>
    <w:p w14:paraId="22D3C535" w14:textId="086AA4A5" w:rsidR="00950592" w:rsidRDefault="0051533F" w:rsidP="00345AEC">
      <w:pPr>
        <w:pStyle w:val="BodyText"/>
        <w:spacing w:before="120"/>
        <w:rPr>
          <w:rFonts w:ascii="Times New Roman" w:hAnsi="Times New Roman"/>
          <w:lang w:eastAsia="ja-JP"/>
        </w:rPr>
      </w:pPr>
      <w:r>
        <w:rPr>
          <w:rFonts w:ascii="Times New Roman" w:hAnsi="Times New Roman"/>
          <w:lang w:eastAsia="ja-JP"/>
        </w:rPr>
        <w:lastRenderedPageBreak/>
        <w:t xml:space="preserve">The agreement above is discussed for </w:t>
      </w:r>
      <w:r w:rsidR="004C0C44">
        <w:rPr>
          <w:rFonts w:ascii="Times New Roman" w:hAnsi="Times New Roman"/>
          <w:lang w:eastAsia="ja-JP"/>
        </w:rPr>
        <w:t>LTE-MTC</w:t>
      </w:r>
      <w:r>
        <w:rPr>
          <w:rFonts w:ascii="Times New Roman" w:hAnsi="Times New Roman"/>
          <w:lang w:eastAsia="ja-JP"/>
        </w:rPr>
        <w:t xml:space="preserve"> and </w:t>
      </w:r>
      <w:r w:rsidR="004C0C44">
        <w:rPr>
          <w:rFonts w:ascii="Times New Roman" w:hAnsi="Times New Roman"/>
          <w:lang w:eastAsia="ja-JP"/>
        </w:rPr>
        <w:t>NB-IoT</w:t>
      </w:r>
      <w:r>
        <w:rPr>
          <w:rFonts w:ascii="Times New Roman" w:hAnsi="Times New Roman"/>
          <w:lang w:eastAsia="ja-JP"/>
        </w:rPr>
        <w:t xml:space="preserve"> separately in sections </w:t>
      </w:r>
      <w:r w:rsidR="004C0C44">
        <w:rPr>
          <w:rFonts w:ascii="Times New Roman" w:hAnsi="Times New Roman"/>
          <w:lang w:eastAsia="ja-JP"/>
        </w:rPr>
        <w:t>2</w:t>
      </w:r>
      <w:r>
        <w:rPr>
          <w:rFonts w:ascii="Times New Roman" w:hAnsi="Times New Roman"/>
          <w:lang w:eastAsia="ja-JP"/>
        </w:rPr>
        <w:t xml:space="preserve">.1 and </w:t>
      </w:r>
      <w:r w:rsidR="004C0C44">
        <w:rPr>
          <w:rFonts w:ascii="Times New Roman" w:hAnsi="Times New Roman"/>
          <w:lang w:eastAsia="ja-JP"/>
        </w:rPr>
        <w:t>2</w:t>
      </w:r>
      <w:r>
        <w:rPr>
          <w:rFonts w:ascii="Times New Roman" w:hAnsi="Times New Roman"/>
          <w:lang w:eastAsia="ja-JP"/>
        </w:rPr>
        <w:t>.2 respectively.</w:t>
      </w:r>
    </w:p>
    <w:p w14:paraId="5E9CC7EA" w14:textId="67549270" w:rsidR="00BE6093" w:rsidRDefault="004C0C44" w:rsidP="00BE6093">
      <w:pPr>
        <w:pStyle w:val="Heading2"/>
      </w:pPr>
      <w:r>
        <w:t>2</w:t>
      </w:r>
      <w:r w:rsidR="00BE6093">
        <w:t>.1</w:t>
      </w:r>
      <w:r w:rsidR="00BE6093">
        <w:tab/>
        <w:t xml:space="preserve">LTE-MTC on </w:t>
      </w:r>
      <w:r w:rsidR="00BF0693">
        <w:t xml:space="preserve">how </w:t>
      </w:r>
      <w:r w:rsidR="00BE6093">
        <w:t>“</w:t>
      </w:r>
      <w:r w:rsidR="00BE6093" w:rsidRPr="003048E2">
        <w:rPr>
          <w:rFonts w:ascii="Times New Roman" w:hAnsi="Times New Roman"/>
          <w:i/>
          <w:iCs/>
        </w:rPr>
        <w:t>to configure/indicate enabling/disabling on HARQ feedback for downlink transmission</w:t>
      </w:r>
      <w:r w:rsidR="00BE6093">
        <w:t>”</w:t>
      </w:r>
    </w:p>
    <w:p w14:paraId="42F30EA1" w14:textId="0065A04E" w:rsidR="00F73FD4" w:rsidRDefault="00F73FD4" w:rsidP="005902A1">
      <w:pPr>
        <w:jc w:val="both"/>
      </w:pPr>
      <w:r>
        <w:t>For</w:t>
      </w:r>
      <w:r w:rsidR="005A1AC2">
        <w:t xml:space="preserve"> LTE-MTC, </w:t>
      </w:r>
      <w:r w:rsidR="00B7079B">
        <w:t>the “</w:t>
      </w:r>
      <w:r w:rsidR="00B7079B" w:rsidRPr="00B7079B">
        <w:rPr>
          <w:i/>
          <w:iCs/>
        </w:rPr>
        <w:t>HARQ process number</w:t>
      </w:r>
      <w:r w:rsidR="00B7079B">
        <w:t xml:space="preserve">” </w:t>
      </w:r>
      <w:r>
        <w:t>is indicated dynamically via DCI Formats 6-1A and 6-1B for CE Mode A and CE Mode B respectively. In Rel-18 for IoT-NTN, it will be natural to indicate</w:t>
      </w:r>
      <w:r w:rsidR="005902A1">
        <w:t xml:space="preserve"> as a complementary information</w:t>
      </w:r>
      <w:r>
        <w:t xml:space="preserve"> whether </w:t>
      </w:r>
      <w:r w:rsidR="005902A1">
        <w:t xml:space="preserve">the </w:t>
      </w:r>
      <w:r>
        <w:t>HARQ feedback is enabled or disabled for such “</w:t>
      </w:r>
      <w:r w:rsidRPr="00B7079B">
        <w:rPr>
          <w:i/>
          <w:iCs/>
        </w:rPr>
        <w:t>HARQ process number</w:t>
      </w:r>
      <w:r>
        <w:t>”.</w:t>
      </w:r>
    </w:p>
    <w:p w14:paraId="4A58003F" w14:textId="77777777" w:rsidR="0039523F" w:rsidRDefault="00A23695" w:rsidP="005902A1">
      <w:pPr>
        <w:jc w:val="both"/>
      </w:pPr>
      <w:r>
        <w:t>E</w:t>
      </w:r>
      <w:r w:rsidR="0027186A">
        <w:t>nabling/</w:t>
      </w:r>
      <w:r>
        <w:t>D</w:t>
      </w:r>
      <w:r w:rsidR="0027186A">
        <w:t xml:space="preserve">isabling HARQ feedback via DCI will be beneficial to adapt faster to changes in the IoT-NTN scenarios. Otherwise, </w:t>
      </w:r>
      <w:r w:rsidR="00490562">
        <w:t xml:space="preserve">using a </w:t>
      </w:r>
      <w:r w:rsidR="0027186A">
        <w:t xml:space="preserve">semi-static </w:t>
      </w:r>
      <w:r w:rsidR="00490562">
        <w:t xml:space="preserve">indication </w:t>
      </w:r>
      <w:r w:rsidR="0027186A">
        <w:t>via RRC signalling</w:t>
      </w:r>
      <w:r w:rsidR="0027186A" w:rsidRPr="0027186A">
        <w:t xml:space="preserve"> </w:t>
      </w:r>
      <w:r w:rsidR="00490562">
        <w:t>will require</w:t>
      </w:r>
      <w:r w:rsidR="0027186A">
        <w:t xml:space="preserve"> performing </w:t>
      </w:r>
      <w:r w:rsidR="00260BF6">
        <w:t xml:space="preserve">first </w:t>
      </w:r>
      <w:r w:rsidR="0027186A">
        <w:t xml:space="preserve">a re-configuration </w:t>
      </w:r>
      <w:r w:rsidR="00490562">
        <w:t>to enabling/disabling HARQ feedback</w:t>
      </w:r>
      <w:r w:rsidR="0027186A">
        <w:t>.</w:t>
      </w:r>
      <w:r>
        <w:t xml:space="preserve"> </w:t>
      </w:r>
    </w:p>
    <w:p w14:paraId="439C7BD1" w14:textId="5F51DB22" w:rsidR="001D49B3" w:rsidRDefault="004C0C44" w:rsidP="004C0C44">
      <w:pPr>
        <w:jc w:val="both"/>
      </w:pPr>
      <w:r>
        <w:t xml:space="preserve">The table below compares a “DCI-based switching” and </w:t>
      </w:r>
      <w:r w:rsidR="005876D4">
        <w:t xml:space="preserve">an </w:t>
      </w:r>
      <w:r>
        <w:t>“RRC-based switching” when used to enable/disable HARQ feedback</w:t>
      </w:r>
      <w:r w:rsidR="00F1469E">
        <w:t xml:space="preserve"> </w:t>
      </w:r>
      <w:r w:rsidR="00BF0693">
        <w:t>for</w:t>
      </w:r>
      <w:r w:rsidR="00F1469E">
        <w:t xml:space="preserve"> LTE-MTC</w:t>
      </w:r>
      <w:r w:rsidR="00BF0693">
        <w:t xml:space="preserve"> over NTN</w:t>
      </w:r>
      <w:r w:rsidR="001D49B3">
        <w:t>.</w:t>
      </w:r>
    </w:p>
    <w:p w14:paraId="381303CD" w14:textId="27B89145" w:rsidR="001D49B3" w:rsidRPr="00A87D48" w:rsidRDefault="001D49B3" w:rsidP="001D49B3">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1</w:t>
      </w:r>
      <w:r w:rsidRPr="00A87D48">
        <w:rPr>
          <w:rFonts w:ascii="Times New Roman" w:hAnsi="Times New Roman"/>
          <w:sz w:val="16"/>
          <w:szCs w:val="16"/>
          <w:lang w:eastAsia="ja-JP"/>
        </w:rPr>
        <w:t xml:space="preserve">: </w:t>
      </w:r>
      <w:r w:rsidRPr="001D49B3">
        <w:rPr>
          <w:rFonts w:ascii="Times New Roman" w:hAnsi="Times New Roman"/>
          <w:sz w:val="16"/>
          <w:szCs w:val="16"/>
          <w:lang w:eastAsia="ja-JP"/>
        </w:rPr>
        <w:t>“DCI-based switching” and “RRC-based switching”</w:t>
      </w:r>
      <w:r>
        <w:rPr>
          <w:rFonts w:ascii="Times New Roman" w:hAnsi="Times New Roman"/>
          <w:sz w:val="16"/>
          <w:szCs w:val="16"/>
          <w:lang w:eastAsia="ja-JP"/>
        </w:rPr>
        <w:t xml:space="preserve"> comparison for LTE-MTC over NTN</w:t>
      </w:r>
      <w:r w:rsidRPr="00A87D48">
        <w:rPr>
          <w:rFonts w:ascii="Times New Roman" w:hAnsi="Times New Roman"/>
          <w:sz w:val="16"/>
          <w:szCs w:val="16"/>
          <w:lang w:eastAsia="ja-JP"/>
        </w:rPr>
        <w:t>.</w:t>
      </w:r>
    </w:p>
    <w:tbl>
      <w:tblPr>
        <w:tblStyle w:val="TableGrid"/>
        <w:tblW w:w="0" w:type="auto"/>
        <w:tblLook w:val="04A0" w:firstRow="1" w:lastRow="0" w:firstColumn="1" w:lastColumn="0" w:noHBand="0" w:noVBand="1"/>
      </w:tblPr>
      <w:tblGrid>
        <w:gridCol w:w="1838"/>
        <w:gridCol w:w="4111"/>
        <w:gridCol w:w="3680"/>
      </w:tblGrid>
      <w:tr w:rsidR="004C0C44" w14:paraId="73B1094D" w14:textId="77777777" w:rsidTr="008341AC">
        <w:tc>
          <w:tcPr>
            <w:tcW w:w="1838" w:type="dxa"/>
          </w:tcPr>
          <w:p w14:paraId="1E111857" w14:textId="77777777" w:rsidR="004C0C44" w:rsidRPr="00097ADE" w:rsidRDefault="004C0C44" w:rsidP="00704657">
            <w:pPr>
              <w:jc w:val="both"/>
              <w:rPr>
                <w:sz w:val="14"/>
                <w:szCs w:val="14"/>
              </w:rPr>
            </w:pPr>
          </w:p>
        </w:tc>
        <w:tc>
          <w:tcPr>
            <w:tcW w:w="4111" w:type="dxa"/>
          </w:tcPr>
          <w:p w14:paraId="10DF7BFA" w14:textId="77777777" w:rsidR="004C0C44" w:rsidRPr="00097ADE" w:rsidRDefault="004C0C44" w:rsidP="00704657">
            <w:pPr>
              <w:jc w:val="center"/>
              <w:rPr>
                <w:b/>
                <w:bCs/>
                <w:sz w:val="14"/>
                <w:szCs w:val="14"/>
              </w:rPr>
            </w:pPr>
            <w:r w:rsidRPr="00097ADE">
              <w:rPr>
                <w:b/>
                <w:bCs/>
                <w:sz w:val="14"/>
                <w:szCs w:val="14"/>
              </w:rPr>
              <w:t>DCI-based switching to enable/disable HARQ feedback</w:t>
            </w:r>
          </w:p>
        </w:tc>
        <w:tc>
          <w:tcPr>
            <w:tcW w:w="3680" w:type="dxa"/>
          </w:tcPr>
          <w:p w14:paraId="68A3EC67" w14:textId="77777777" w:rsidR="004C0C44" w:rsidRPr="00097ADE" w:rsidRDefault="004C0C44" w:rsidP="00704657">
            <w:pPr>
              <w:jc w:val="center"/>
              <w:rPr>
                <w:b/>
                <w:bCs/>
                <w:sz w:val="14"/>
                <w:szCs w:val="14"/>
              </w:rPr>
            </w:pPr>
            <w:r w:rsidRPr="00097ADE">
              <w:rPr>
                <w:b/>
                <w:bCs/>
                <w:sz w:val="14"/>
                <w:szCs w:val="14"/>
              </w:rPr>
              <w:t>RRC-based switching to enable/disable HARQ feedback</w:t>
            </w:r>
          </w:p>
        </w:tc>
      </w:tr>
      <w:tr w:rsidR="004C0C44" w14:paraId="7F57B424" w14:textId="77777777" w:rsidTr="008341AC">
        <w:trPr>
          <w:trHeight w:val="205"/>
        </w:trPr>
        <w:tc>
          <w:tcPr>
            <w:tcW w:w="1838" w:type="dxa"/>
            <w:vMerge w:val="restart"/>
          </w:tcPr>
          <w:p w14:paraId="69BEBFAA" w14:textId="77777777" w:rsidR="004C0C44" w:rsidRPr="00097ADE" w:rsidRDefault="004C0C44" w:rsidP="00704657">
            <w:pPr>
              <w:jc w:val="both"/>
              <w:rPr>
                <w:b/>
                <w:bCs/>
                <w:sz w:val="14"/>
                <w:szCs w:val="14"/>
              </w:rPr>
            </w:pPr>
            <w:r w:rsidRPr="00097ADE">
              <w:rPr>
                <w:b/>
                <w:bCs/>
                <w:sz w:val="14"/>
                <w:szCs w:val="14"/>
              </w:rPr>
              <w:t>Reference Legacy Design</w:t>
            </w:r>
          </w:p>
        </w:tc>
        <w:tc>
          <w:tcPr>
            <w:tcW w:w="4111" w:type="dxa"/>
          </w:tcPr>
          <w:p w14:paraId="55CBBDCA" w14:textId="77777777" w:rsidR="004C0C44" w:rsidRPr="00097ADE" w:rsidRDefault="004C0C44" w:rsidP="00704657">
            <w:pPr>
              <w:jc w:val="both"/>
              <w:rPr>
                <w:sz w:val="14"/>
                <w:szCs w:val="14"/>
              </w:rPr>
            </w:pPr>
            <w:r w:rsidRPr="00097ADE">
              <w:rPr>
                <w:sz w:val="14"/>
                <w:szCs w:val="14"/>
              </w:rPr>
              <w:t xml:space="preserve">The “HARQ process number” in CE Mode A is already dynamically indicated: </w:t>
            </w:r>
          </w:p>
          <w:p w14:paraId="043CD0D8" w14:textId="77777777" w:rsidR="004C0C44" w:rsidRPr="00097ADE" w:rsidRDefault="004C0C44" w:rsidP="00704657">
            <w:pPr>
              <w:pStyle w:val="Heading5"/>
              <w:spacing w:after="0"/>
              <w:outlineLvl w:val="4"/>
              <w:rPr>
                <w:sz w:val="14"/>
                <w:szCs w:val="14"/>
              </w:rPr>
            </w:pPr>
            <w:r w:rsidRPr="00097ADE">
              <w:rPr>
                <w:sz w:val="14"/>
                <w:szCs w:val="14"/>
              </w:rPr>
              <w:t>5.3.3.1.</w:t>
            </w:r>
            <w:r w:rsidRPr="00097ADE">
              <w:rPr>
                <w:rFonts w:hint="eastAsia"/>
                <w:sz w:val="14"/>
                <w:szCs w:val="14"/>
                <w:lang w:eastAsia="zh-CN"/>
              </w:rPr>
              <w:t>12</w:t>
            </w:r>
            <w:r w:rsidRPr="00097ADE">
              <w:rPr>
                <w:sz w:val="14"/>
                <w:szCs w:val="14"/>
              </w:rPr>
              <w:tab/>
              <w:t xml:space="preserve">Format </w:t>
            </w:r>
            <w:r w:rsidRPr="00097ADE">
              <w:rPr>
                <w:rFonts w:hint="eastAsia"/>
                <w:sz w:val="14"/>
                <w:szCs w:val="14"/>
                <w:lang w:eastAsia="zh-CN"/>
              </w:rPr>
              <w:t>6-1A</w:t>
            </w:r>
          </w:p>
          <w:p w14:paraId="2C249582" w14:textId="77777777" w:rsidR="004C0C44" w:rsidRPr="00097ADE" w:rsidRDefault="004C0C44" w:rsidP="00704657">
            <w:pPr>
              <w:spacing w:after="0"/>
              <w:jc w:val="center"/>
              <w:rPr>
                <w:sz w:val="14"/>
                <w:szCs w:val="14"/>
              </w:rPr>
            </w:pPr>
            <w:r w:rsidRPr="00097ADE">
              <w:rPr>
                <w:sz w:val="14"/>
                <w:szCs w:val="14"/>
              </w:rPr>
              <w:t>.</w:t>
            </w:r>
          </w:p>
          <w:p w14:paraId="1288680F" w14:textId="77777777" w:rsidR="004C0C44" w:rsidRPr="00097ADE" w:rsidRDefault="004C0C44" w:rsidP="00704657">
            <w:pPr>
              <w:spacing w:after="0"/>
              <w:jc w:val="center"/>
              <w:rPr>
                <w:sz w:val="14"/>
                <w:szCs w:val="14"/>
              </w:rPr>
            </w:pPr>
            <w:r w:rsidRPr="00097ADE">
              <w:rPr>
                <w:sz w:val="14"/>
                <w:szCs w:val="14"/>
              </w:rPr>
              <w:t>.</w:t>
            </w:r>
          </w:p>
          <w:p w14:paraId="160CB409" w14:textId="77777777" w:rsidR="004C0C44" w:rsidRPr="00097ADE" w:rsidRDefault="004C0C44" w:rsidP="00704657">
            <w:pPr>
              <w:spacing w:after="120"/>
              <w:jc w:val="center"/>
              <w:rPr>
                <w:sz w:val="14"/>
                <w:szCs w:val="14"/>
              </w:rPr>
            </w:pPr>
            <w:r w:rsidRPr="00097ADE">
              <w:rPr>
                <w:sz w:val="14"/>
                <w:szCs w:val="14"/>
              </w:rPr>
              <w:t>.</w:t>
            </w:r>
          </w:p>
          <w:p w14:paraId="02593C05" w14:textId="24846B3C" w:rsidR="004C0C44" w:rsidRPr="00097ADE" w:rsidRDefault="004C0C44" w:rsidP="008341AC">
            <w:pPr>
              <w:pStyle w:val="B1"/>
              <w:rPr>
                <w:sz w:val="14"/>
                <w:szCs w:val="14"/>
              </w:rPr>
            </w:pPr>
            <w:r w:rsidRPr="00097ADE">
              <w:rPr>
                <w:sz w:val="14"/>
                <w:szCs w:val="14"/>
              </w:rPr>
              <w:t>-</w:t>
            </w:r>
            <w:r w:rsidRPr="00097ADE">
              <w:rPr>
                <w:sz w:val="14"/>
                <w:szCs w:val="14"/>
              </w:rPr>
              <w:tab/>
              <w:t>HARQ process number – 3 bits (for cases with FDD</w:t>
            </w:r>
            <w:r w:rsidRPr="00097ADE">
              <w:rPr>
                <w:rFonts w:hint="eastAsia"/>
                <w:sz w:val="14"/>
                <w:szCs w:val="14"/>
              </w:rPr>
              <w:t xml:space="preserve"> </w:t>
            </w:r>
            <w:r w:rsidRPr="00097ADE">
              <w:rPr>
                <w:sz w:val="14"/>
                <w:szCs w:val="14"/>
              </w:rPr>
              <w:t>primary</w:t>
            </w:r>
            <w:r w:rsidRPr="00097ADE">
              <w:rPr>
                <w:rFonts w:hint="eastAsia"/>
                <w:sz w:val="14"/>
                <w:szCs w:val="14"/>
              </w:rPr>
              <w:t xml:space="preserve"> </w:t>
            </w:r>
            <w:r w:rsidRPr="00097ADE">
              <w:rPr>
                <w:sz w:val="14"/>
                <w:szCs w:val="14"/>
              </w:rPr>
              <w:t>cell), 4 bits (for cases with TDD primary cell</w:t>
            </w:r>
            <w:r w:rsidRPr="00097ADE">
              <w:rPr>
                <w:rFonts w:hint="eastAsia"/>
                <w:sz w:val="14"/>
                <w:szCs w:val="14"/>
              </w:rPr>
              <w:t xml:space="preserve">, or for cases with FDD primary cell when </w:t>
            </w:r>
            <w:r w:rsidRPr="00097ADE">
              <w:rPr>
                <w:i/>
                <w:sz w:val="14"/>
                <w:szCs w:val="14"/>
              </w:rPr>
              <w:t>ce-pdsch-tenProcesses-config</w:t>
            </w:r>
            <w:r w:rsidRPr="00097ADE">
              <w:rPr>
                <w:rFonts w:hint="eastAsia"/>
                <w:sz w:val="14"/>
                <w:szCs w:val="14"/>
              </w:rPr>
              <w:t xml:space="preserve"> </w:t>
            </w:r>
            <w:r w:rsidRPr="00097ADE">
              <w:rPr>
                <w:sz w:val="14"/>
                <w:szCs w:val="14"/>
              </w:rPr>
              <w:t xml:space="preserve">or </w:t>
            </w:r>
            <w:r w:rsidRPr="00097ADE">
              <w:rPr>
                <w:i/>
                <w:iCs/>
                <w:sz w:val="14"/>
                <w:szCs w:val="14"/>
              </w:rPr>
              <w:t>ce-PDSCH-14HARQ-Config</w:t>
            </w:r>
            <w:r w:rsidRPr="00097ADE">
              <w:rPr>
                <w:rFonts w:hint="eastAsia"/>
                <w:sz w:val="14"/>
                <w:szCs w:val="14"/>
              </w:rPr>
              <w:t xml:space="preserve"> is </w:t>
            </w:r>
            <w:r w:rsidRPr="00097ADE">
              <w:rPr>
                <w:sz w:val="14"/>
                <w:szCs w:val="14"/>
              </w:rPr>
              <w:t>configured by higher layers and the DCI is mapped onto the UE-specific search space given by the C-RNTI as defined in [3])</w:t>
            </w:r>
            <w:r w:rsidRPr="00097ADE">
              <w:rPr>
                <w:rFonts w:hint="eastAsia"/>
                <w:sz w:val="14"/>
                <w:szCs w:val="14"/>
              </w:rPr>
              <w:t xml:space="preserve">. </w:t>
            </w:r>
            <w:r w:rsidRPr="00097ADE">
              <w:rPr>
                <w:sz w:val="14"/>
                <w:szCs w:val="14"/>
              </w:rPr>
              <w:t xml:space="preserve">This field is not present when the format </w:t>
            </w:r>
            <w:r w:rsidRPr="00097ADE">
              <w:rPr>
                <w:rFonts w:hint="eastAsia"/>
                <w:sz w:val="14"/>
                <w:szCs w:val="14"/>
              </w:rPr>
              <w:t>6-1A</w:t>
            </w:r>
            <w:r w:rsidRPr="00097ADE">
              <w:rPr>
                <w:sz w:val="14"/>
                <w:szCs w:val="14"/>
              </w:rPr>
              <w:t xml:space="preserve"> CRC is scrambled with G-RNTI, or if </w:t>
            </w:r>
            <w:r w:rsidRPr="00097ADE">
              <w:rPr>
                <w:i/>
                <w:iCs/>
                <w:sz w:val="14"/>
                <w:szCs w:val="14"/>
              </w:rPr>
              <w:t>ce-PDSCH-MultiTB-Config</w:t>
            </w:r>
            <w:r w:rsidRPr="00097ADE">
              <w:rPr>
                <w:sz w:val="14"/>
                <w:szCs w:val="14"/>
              </w:rPr>
              <w:t xml:space="preserve"> is enabled </w:t>
            </w:r>
            <w:r w:rsidRPr="00097ADE">
              <w:rPr>
                <w:rFonts w:eastAsia="SimSun"/>
                <w:sz w:val="14"/>
                <w:szCs w:val="14"/>
              </w:rPr>
              <w:t>and the DCI is mapped onto the UE-specific search space given by C-RNTI as defined in [3]</w:t>
            </w:r>
            <w:r w:rsidRPr="00097ADE">
              <w:rPr>
                <w:sz w:val="14"/>
                <w:szCs w:val="14"/>
              </w:rPr>
              <w:t>.</w:t>
            </w:r>
          </w:p>
        </w:tc>
        <w:tc>
          <w:tcPr>
            <w:tcW w:w="3680" w:type="dxa"/>
            <w:vMerge w:val="restart"/>
          </w:tcPr>
          <w:p w14:paraId="34603794" w14:textId="77777777" w:rsidR="004C0C44" w:rsidRDefault="004C0C44" w:rsidP="00704657">
            <w:pPr>
              <w:jc w:val="both"/>
              <w:rPr>
                <w:sz w:val="14"/>
                <w:szCs w:val="14"/>
              </w:rPr>
            </w:pPr>
            <w:r w:rsidRPr="00097ADE">
              <w:rPr>
                <w:sz w:val="14"/>
                <w:szCs w:val="14"/>
              </w:rPr>
              <w:t xml:space="preserve">The </w:t>
            </w:r>
            <w:r>
              <w:rPr>
                <w:sz w:val="14"/>
                <w:szCs w:val="14"/>
              </w:rPr>
              <w:t>NR-NTN semi-static switching is as follows:</w:t>
            </w:r>
          </w:p>
          <w:p w14:paraId="6A40ED9C" w14:textId="77777777" w:rsidR="004C0C44" w:rsidRPr="00714BF9" w:rsidRDefault="004C0C44" w:rsidP="00704657">
            <w:pPr>
              <w:pStyle w:val="TH"/>
              <w:rPr>
                <w:sz w:val="14"/>
                <w:szCs w:val="14"/>
              </w:rPr>
            </w:pPr>
            <w:r w:rsidRPr="00714BF9">
              <w:rPr>
                <w:i/>
                <w:sz w:val="14"/>
                <w:szCs w:val="14"/>
              </w:rPr>
              <w:t>PDSCH-ServingCellConfig</w:t>
            </w:r>
            <w:r w:rsidRPr="00714BF9">
              <w:rPr>
                <w:sz w:val="14"/>
                <w:szCs w:val="14"/>
              </w:rPr>
              <w:t xml:space="preserve"> information element</w:t>
            </w:r>
          </w:p>
          <w:p w14:paraId="57E87737" w14:textId="77777777" w:rsidR="004C0C44" w:rsidRPr="00714BF9" w:rsidRDefault="004C0C44" w:rsidP="00704657">
            <w:pPr>
              <w:pStyle w:val="PL"/>
              <w:rPr>
                <w:color w:val="808080"/>
                <w:sz w:val="14"/>
                <w:szCs w:val="14"/>
              </w:rPr>
            </w:pPr>
            <w:r w:rsidRPr="00714BF9">
              <w:rPr>
                <w:color w:val="808080"/>
                <w:sz w:val="14"/>
                <w:szCs w:val="14"/>
              </w:rPr>
              <w:t>-- ASN1START</w:t>
            </w:r>
          </w:p>
          <w:p w14:paraId="0C324C9B" w14:textId="77777777" w:rsidR="004C0C44" w:rsidRPr="00714BF9" w:rsidRDefault="004C0C44" w:rsidP="00704657">
            <w:pPr>
              <w:pStyle w:val="PL"/>
              <w:rPr>
                <w:color w:val="808080"/>
                <w:sz w:val="14"/>
                <w:szCs w:val="14"/>
              </w:rPr>
            </w:pPr>
            <w:r w:rsidRPr="00714BF9">
              <w:rPr>
                <w:color w:val="808080"/>
                <w:sz w:val="14"/>
                <w:szCs w:val="14"/>
              </w:rPr>
              <w:t>-- TAG-PDSCH-SERVINGCELLCONFIG-START</w:t>
            </w:r>
          </w:p>
          <w:p w14:paraId="00B17EB3" w14:textId="77777777" w:rsidR="004C0C44" w:rsidRPr="00714BF9" w:rsidRDefault="004C0C44" w:rsidP="00704657">
            <w:pPr>
              <w:pStyle w:val="PL"/>
              <w:rPr>
                <w:sz w:val="14"/>
                <w:szCs w:val="14"/>
              </w:rPr>
            </w:pPr>
          </w:p>
          <w:p w14:paraId="345648D5" w14:textId="77777777" w:rsidR="004C0C44" w:rsidRPr="00714BF9" w:rsidRDefault="004C0C44" w:rsidP="00704657">
            <w:pPr>
              <w:pStyle w:val="PL"/>
              <w:rPr>
                <w:sz w:val="14"/>
                <w:szCs w:val="14"/>
              </w:rPr>
            </w:pPr>
            <w:r w:rsidRPr="00714BF9">
              <w:rPr>
                <w:sz w:val="14"/>
                <w:szCs w:val="14"/>
              </w:rPr>
              <w:t xml:space="preserve">    [[</w:t>
            </w:r>
          </w:p>
          <w:p w14:paraId="6D34E8DF" w14:textId="77777777" w:rsidR="004C0C44" w:rsidRPr="00714BF9" w:rsidRDefault="004C0C44" w:rsidP="00704657">
            <w:pPr>
              <w:pStyle w:val="PL"/>
              <w:rPr>
                <w:color w:val="808080"/>
                <w:sz w:val="14"/>
                <w:szCs w:val="14"/>
              </w:rPr>
            </w:pPr>
            <w:r w:rsidRPr="00714BF9">
              <w:rPr>
                <w:sz w:val="14"/>
                <w:szCs w:val="14"/>
              </w:rPr>
              <w:t xml:space="preserve">    downlinkHARQ-FeedbackDisabled-r17       SetupRelease { DownlinkHARQ-FeedbackDisabled-r17 }              </w:t>
            </w:r>
            <w:r w:rsidRPr="00714BF9">
              <w:rPr>
                <w:color w:val="993366"/>
                <w:sz w:val="14"/>
                <w:szCs w:val="14"/>
              </w:rPr>
              <w:t>OPTIONAL</w:t>
            </w:r>
            <w:r w:rsidRPr="00714BF9">
              <w:rPr>
                <w:sz w:val="14"/>
                <w:szCs w:val="14"/>
              </w:rPr>
              <w:t xml:space="preserve">,   </w:t>
            </w:r>
            <w:r w:rsidRPr="00714BF9">
              <w:rPr>
                <w:color w:val="808080"/>
                <w:sz w:val="14"/>
                <w:szCs w:val="14"/>
              </w:rPr>
              <w:t>-- Need M</w:t>
            </w:r>
          </w:p>
          <w:p w14:paraId="21D6A205" w14:textId="77777777" w:rsidR="004C0C44" w:rsidRPr="00714BF9" w:rsidRDefault="004C0C44" w:rsidP="00704657">
            <w:pPr>
              <w:pStyle w:val="PL"/>
              <w:rPr>
                <w:color w:val="808080"/>
                <w:sz w:val="14"/>
                <w:szCs w:val="14"/>
              </w:rPr>
            </w:pPr>
            <w:r w:rsidRPr="00714BF9">
              <w:rPr>
                <w:sz w:val="14"/>
                <w:szCs w:val="14"/>
              </w:rPr>
              <w:t xml:space="preserve">    nrofHARQ-ProcessesForPDSCH-v1700        </w:t>
            </w:r>
            <w:r w:rsidRPr="00714BF9">
              <w:rPr>
                <w:color w:val="993366"/>
                <w:sz w:val="14"/>
                <w:szCs w:val="14"/>
              </w:rPr>
              <w:t>ENUMERATED</w:t>
            </w:r>
            <w:r w:rsidRPr="00714BF9">
              <w:rPr>
                <w:sz w:val="14"/>
                <w:szCs w:val="14"/>
              </w:rPr>
              <w:t xml:space="preserve"> {n32}                                               </w:t>
            </w:r>
            <w:r w:rsidRPr="00714BF9">
              <w:rPr>
                <w:color w:val="993366"/>
                <w:sz w:val="14"/>
                <w:szCs w:val="14"/>
              </w:rPr>
              <w:t>OPTIONAL</w:t>
            </w:r>
            <w:r w:rsidRPr="00714BF9">
              <w:rPr>
                <w:sz w:val="14"/>
                <w:szCs w:val="14"/>
              </w:rPr>
              <w:t xml:space="preserve">    </w:t>
            </w:r>
            <w:r w:rsidRPr="00714BF9">
              <w:rPr>
                <w:color w:val="808080"/>
                <w:sz w:val="14"/>
                <w:szCs w:val="14"/>
              </w:rPr>
              <w:t>-- Need R</w:t>
            </w:r>
          </w:p>
          <w:p w14:paraId="4212645F" w14:textId="77777777" w:rsidR="004C0C44" w:rsidRPr="00714BF9" w:rsidRDefault="004C0C44" w:rsidP="00704657">
            <w:pPr>
              <w:pStyle w:val="PL"/>
              <w:rPr>
                <w:sz w:val="14"/>
                <w:szCs w:val="14"/>
              </w:rPr>
            </w:pPr>
            <w:r w:rsidRPr="00714BF9">
              <w:rPr>
                <w:sz w:val="14"/>
                <w:szCs w:val="14"/>
              </w:rPr>
              <w:t xml:space="preserve">    ]]</w:t>
            </w:r>
          </w:p>
          <w:p w14:paraId="56A16016" w14:textId="77777777" w:rsidR="004C0C44" w:rsidRPr="00714BF9" w:rsidRDefault="004C0C44" w:rsidP="00704657">
            <w:pPr>
              <w:jc w:val="both"/>
              <w:rPr>
                <w:rFonts w:ascii="Arial" w:hAnsi="Arial"/>
                <w:sz w:val="14"/>
                <w:szCs w:val="14"/>
              </w:rPr>
            </w:pPr>
          </w:p>
          <w:p w14:paraId="07F00217" w14:textId="77777777" w:rsidR="004C0C44" w:rsidRPr="00714BF9" w:rsidRDefault="004C0C44" w:rsidP="00704657">
            <w:pPr>
              <w:jc w:val="both"/>
              <w:rPr>
                <w:rFonts w:ascii="Arial" w:hAnsi="Arial"/>
                <w:b/>
                <w:bCs/>
                <w:sz w:val="14"/>
                <w:szCs w:val="14"/>
              </w:rPr>
            </w:pPr>
            <w:r w:rsidRPr="00714BF9">
              <w:rPr>
                <w:rFonts w:ascii="Arial" w:hAnsi="Arial"/>
                <w:b/>
                <w:bCs/>
                <w:sz w:val="14"/>
                <w:szCs w:val="14"/>
              </w:rPr>
              <w:t>PDSCH-CodeBlockGroupTransmission field descriptions</w:t>
            </w:r>
          </w:p>
          <w:p w14:paraId="1D8CD485" w14:textId="77777777" w:rsidR="004C0C44" w:rsidRPr="00714BF9" w:rsidRDefault="004C0C44" w:rsidP="00704657">
            <w:pPr>
              <w:jc w:val="both"/>
              <w:rPr>
                <w:rFonts w:ascii="Arial" w:hAnsi="Arial"/>
                <w:b/>
                <w:bCs/>
                <w:sz w:val="14"/>
                <w:szCs w:val="14"/>
              </w:rPr>
            </w:pPr>
            <w:r w:rsidRPr="00714BF9">
              <w:rPr>
                <w:rFonts w:ascii="Arial" w:hAnsi="Arial"/>
                <w:b/>
                <w:bCs/>
                <w:sz w:val="14"/>
                <w:szCs w:val="14"/>
              </w:rPr>
              <w:t>downlinkHARQ-FeedbackDisabled</w:t>
            </w:r>
          </w:p>
          <w:p w14:paraId="281316A0" w14:textId="4860A006" w:rsidR="004C0C44" w:rsidRPr="008341AC" w:rsidRDefault="004C0C44" w:rsidP="00704657">
            <w:pPr>
              <w:jc w:val="both"/>
              <w:rPr>
                <w:rFonts w:ascii="Arial" w:hAnsi="Arial"/>
                <w:sz w:val="14"/>
                <w:szCs w:val="14"/>
              </w:rPr>
            </w:pPr>
            <w:r w:rsidRPr="00714BF9">
              <w:rPr>
                <w:rFonts w:ascii="Arial" w:hAnsi="Arial"/>
                <w:sz w:val="14"/>
                <w:szCs w:val="14"/>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4C0C44" w14:paraId="4071D7BB" w14:textId="77777777" w:rsidTr="008341AC">
        <w:trPr>
          <w:trHeight w:val="205"/>
        </w:trPr>
        <w:tc>
          <w:tcPr>
            <w:tcW w:w="1838" w:type="dxa"/>
            <w:vMerge/>
          </w:tcPr>
          <w:p w14:paraId="62A6B5DF" w14:textId="77777777" w:rsidR="004C0C44" w:rsidRPr="00097ADE" w:rsidRDefault="004C0C44" w:rsidP="00704657">
            <w:pPr>
              <w:jc w:val="both"/>
              <w:rPr>
                <w:b/>
                <w:bCs/>
                <w:sz w:val="14"/>
                <w:szCs w:val="14"/>
              </w:rPr>
            </w:pPr>
          </w:p>
        </w:tc>
        <w:tc>
          <w:tcPr>
            <w:tcW w:w="4111" w:type="dxa"/>
          </w:tcPr>
          <w:p w14:paraId="309C2253" w14:textId="77777777" w:rsidR="004C0C44" w:rsidRPr="00097ADE" w:rsidRDefault="004C0C44" w:rsidP="00704657">
            <w:pPr>
              <w:jc w:val="both"/>
              <w:rPr>
                <w:sz w:val="14"/>
                <w:szCs w:val="14"/>
              </w:rPr>
            </w:pPr>
            <w:r w:rsidRPr="00097ADE">
              <w:rPr>
                <w:sz w:val="14"/>
                <w:szCs w:val="14"/>
              </w:rPr>
              <w:t xml:space="preserve">The “HARQ process number” in CE Mode B is already dynamically indicated: </w:t>
            </w:r>
          </w:p>
          <w:p w14:paraId="70DD9CB8" w14:textId="77777777" w:rsidR="004C0C44" w:rsidRPr="00097ADE" w:rsidRDefault="004C0C44" w:rsidP="00704657">
            <w:pPr>
              <w:pStyle w:val="Heading5"/>
              <w:outlineLvl w:val="4"/>
              <w:rPr>
                <w:sz w:val="14"/>
                <w:szCs w:val="14"/>
                <w:lang w:eastAsia="zh-CN"/>
              </w:rPr>
            </w:pPr>
            <w:r w:rsidRPr="00097ADE">
              <w:rPr>
                <w:sz w:val="14"/>
                <w:szCs w:val="14"/>
              </w:rPr>
              <w:t>5.3.3.1.1</w:t>
            </w:r>
            <w:r w:rsidRPr="00097ADE">
              <w:rPr>
                <w:rFonts w:hint="eastAsia"/>
                <w:sz w:val="14"/>
                <w:szCs w:val="14"/>
                <w:lang w:eastAsia="zh-CN"/>
              </w:rPr>
              <w:t>3</w:t>
            </w:r>
            <w:r w:rsidRPr="00097ADE">
              <w:rPr>
                <w:sz w:val="14"/>
                <w:szCs w:val="14"/>
              </w:rPr>
              <w:tab/>
              <w:t xml:space="preserve">Format </w:t>
            </w:r>
            <w:r w:rsidRPr="00097ADE">
              <w:rPr>
                <w:rFonts w:hint="eastAsia"/>
                <w:sz w:val="14"/>
                <w:szCs w:val="14"/>
                <w:lang w:eastAsia="zh-CN"/>
              </w:rPr>
              <w:t>6-1B</w:t>
            </w:r>
          </w:p>
          <w:p w14:paraId="00D2457E" w14:textId="77777777" w:rsidR="004C0C44" w:rsidRPr="00097ADE" w:rsidRDefault="004C0C44" w:rsidP="00704657">
            <w:pPr>
              <w:spacing w:after="0"/>
              <w:jc w:val="center"/>
              <w:rPr>
                <w:sz w:val="14"/>
                <w:szCs w:val="14"/>
              </w:rPr>
            </w:pPr>
            <w:r w:rsidRPr="00097ADE">
              <w:rPr>
                <w:sz w:val="14"/>
                <w:szCs w:val="14"/>
              </w:rPr>
              <w:t>.</w:t>
            </w:r>
          </w:p>
          <w:p w14:paraId="1DC0B5FD" w14:textId="77777777" w:rsidR="004C0C44" w:rsidRPr="00097ADE" w:rsidRDefault="004C0C44" w:rsidP="00704657">
            <w:pPr>
              <w:spacing w:after="0"/>
              <w:jc w:val="center"/>
              <w:rPr>
                <w:sz w:val="14"/>
                <w:szCs w:val="14"/>
              </w:rPr>
            </w:pPr>
            <w:r w:rsidRPr="00097ADE">
              <w:rPr>
                <w:sz w:val="14"/>
                <w:szCs w:val="14"/>
              </w:rPr>
              <w:t>.</w:t>
            </w:r>
          </w:p>
          <w:p w14:paraId="05125BC5" w14:textId="77777777" w:rsidR="004C0C44" w:rsidRPr="00097ADE" w:rsidRDefault="004C0C44" w:rsidP="00704657">
            <w:pPr>
              <w:spacing w:after="120"/>
              <w:jc w:val="center"/>
              <w:rPr>
                <w:sz w:val="14"/>
                <w:szCs w:val="14"/>
              </w:rPr>
            </w:pPr>
            <w:r w:rsidRPr="00097ADE">
              <w:rPr>
                <w:sz w:val="14"/>
                <w:szCs w:val="14"/>
              </w:rPr>
              <w:t>.</w:t>
            </w:r>
          </w:p>
          <w:p w14:paraId="29E58195" w14:textId="71E161CA" w:rsidR="004C0C44" w:rsidRPr="00097ADE" w:rsidRDefault="004C0C44" w:rsidP="008341AC">
            <w:pPr>
              <w:pStyle w:val="B1"/>
              <w:rPr>
                <w:sz w:val="14"/>
                <w:szCs w:val="14"/>
              </w:rPr>
            </w:pPr>
            <w:r w:rsidRPr="00097ADE">
              <w:rPr>
                <w:sz w:val="14"/>
                <w:szCs w:val="14"/>
              </w:rPr>
              <w:t>-</w:t>
            </w:r>
            <w:r w:rsidRPr="00097ADE">
              <w:rPr>
                <w:sz w:val="14"/>
                <w:szCs w:val="14"/>
              </w:rPr>
              <w:tab/>
              <w:t xml:space="preserve">HARQ process number – </w:t>
            </w:r>
            <w:r w:rsidRPr="00097ADE">
              <w:rPr>
                <w:rFonts w:hint="eastAsia"/>
                <w:sz w:val="14"/>
                <w:szCs w:val="14"/>
              </w:rPr>
              <w:t>1</w:t>
            </w:r>
            <w:r w:rsidRPr="00097ADE">
              <w:rPr>
                <w:sz w:val="14"/>
                <w:szCs w:val="14"/>
              </w:rPr>
              <w:t xml:space="preserve"> bit</w:t>
            </w:r>
            <w:r w:rsidRPr="00097ADE">
              <w:rPr>
                <w:rFonts w:hint="eastAsia"/>
                <w:sz w:val="14"/>
                <w:szCs w:val="14"/>
              </w:rPr>
              <w:t xml:space="preserve">. </w:t>
            </w:r>
            <w:r w:rsidRPr="00097ADE">
              <w:rPr>
                <w:sz w:val="14"/>
                <w:szCs w:val="14"/>
              </w:rPr>
              <w:t xml:space="preserve">This field is not present when the format </w:t>
            </w:r>
            <w:r w:rsidRPr="00097ADE">
              <w:rPr>
                <w:rFonts w:hint="eastAsia"/>
                <w:sz w:val="14"/>
                <w:szCs w:val="14"/>
              </w:rPr>
              <w:t>6-1B</w:t>
            </w:r>
            <w:r w:rsidRPr="00097ADE">
              <w:rPr>
                <w:sz w:val="14"/>
                <w:szCs w:val="14"/>
              </w:rPr>
              <w:t xml:space="preserve"> CRC is scrambled with G-RNTI, or if </w:t>
            </w:r>
            <w:r w:rsidRPr="00097ADE">
              <w:rPr>
                <w:i/>
                <w:iCs/>
                <w:sz w:val="14"/>
                <w:szCs w:val="14"/>
              </w:rPr>
              <w:t>ce-PDSCH-MultiTB-Config</w:t>
            </w:r>
            <w:r w:rsidRPr="00097ADE">
              <w:rPr>
                <w:sz w:val="14"/>
                <w:szCs w:val="14"/>
              </w:rPr>
              <w:t xml:space="preserve"> is enabled</w:t>
            </w:r>
            <w:r w:rsidRPr="00097ADE">
              <w:rPr>
                <w:rFonts w:eastAsia="SimSun"/>
                <w:sz w:val="14"/>
                <w:szCs w:val="14"/>
              </w:rPr>
              <w:t xml:space="preserve"> and the DCI is mapped onto the UE-specific search space given by C-RNTI as defined in [3]</w:t>
            </w:r>
            <w:r w:rsidRPr="00097ADE">
              <w:rPr>
                <w:sz w:val="14"/>
                <w:szCs w:val="14"/>
              </w:rPr>
              <w:t>.</w:t>
            </w:r>
          </w:p>
        </w:tc>
        <w:tc>
          <w:tcPr>
            <w:tcW w:w="3680" w:type="dxa"/>
            <w:vMerge/>
          </w:tcPr>
          <w:p w14:paraId="64A8F2A7" w14:textId="77777777" w:rsidR="004C0C44" w:rsidRPr="00097ADE" w:rsidRDefault="004C0C44" w:rsidP="00704657">
            <w:pPr>
              <w:jc w:val="both"/>
              <w:rPr>
                <w:sz w:val="14"/>
                <w:szCs w:val="14"/>
              </w:rPr>
            </w:pPr>
          </w:p>
        </w:tc>
      </w:tr>
      <w:tr w:rsidR="004C0C44" w14:paraId="709EC8BF" w14:textId="77777777" w:rsidTr="008341AC">
        <w:tc>
          <w:tcPr>
            <w:tcW w:w="1838" w:type="dxa"/>
          </w:tcPr>
          <w:p w14:paraId="6A6E0808" w14:textId="77777777" w:rsidR="004C0C44" w:rsidRPr="00097ADE" w:rsidRDefault="004C0C44" w:rsidP="00704657">
            <w:pPr>
              <w:jc w:val="both"/>
              <w:rPr>
                <w:b/>
                <w:bCs/>
                <w:sz w:val="14"/>
                <w:szCs w:val="14"/>
              </w:rPr>
            </w:pPr>
            <w:r w:rsidRPr="00097ADE">
              <w:rPr>
                <w:b/>
                <w:bCs/>
                <w:sz w:val="14"/>
                <w:szCs w:val="14"/>
              </w:rPr>
              <w:t>Number of bits required</w:t>
            </w:r>
          </w:p>
        </w:tc>
        <w:tc>
          <w:tcPr>
            <w:tcW w:w="4111" w:type="dxa"/>
          </w:tcPr>
          <w:p w14:paraId="1A3718B7" w14:textId="77777777" w:rsidR="004C0C44" w:rsidRDefault="004C0C44" w:rsidP="00704657">
            <w:pPr>
              <w:jc w:val="both"/>
              <w:rPr>
                <w:sz w:val="14"/>
                <w:szCs w:val="14"/>
              </w:rPr>
            </w:pPr>
            <w:r>
              <w:rPr>
                <w:sz w:val="14"/>
                <w:szCs w:val="14"/>
              </w:rPr>
              <w:t>1-bit in DCI</w:t>
            </w:r>
          </w:p>
          <w:p w14:paraId="4EBBD6FB" w14:textId="77777777" w:rsidR="004C0C44" w:rsidRPr="00097ADE" w:rsidRDefault="004C0C44" w:rsidP="00704657">
            <w:pPr>
              <w:jc w:val="both"/>
              <w:rPr>
                <w:sz w:val="14"/>
                <w:szCs w:val="14"/>
              </w:rPr>
            </w:pPr>
            <w:r>
              <w:rPr>
                <w:sz w:val="14"/>
                <w:szCs w:val="14"/>
              </w:rPr>
              <w:t xml:space="preserve">Note: Since the </w:t>
            </w:r>
            <w:r w:rsidRPr="00097ADE">
              <w:rPr>
                <w:sz w:val="14"/>
                <w:szCs w:val="14"/>
              </w:rPr>
              <w:t>“HARQ process number”</w:t>
            </w:r>
            <w:r>
              <w:rPr>
                <w:sz w:val="14"/>
                <w:szCs w:val="14"/>
              </w:rPr>
              <w:t xml:space="preserve"> is already indicated via DCI, only 1-bit is required to indicate </w:t>
            </w:r>
            <w:r w:rsidRPr="007E0218">
              <w:rPr>
                <w:sz w:val="14"/>
                <w:szCs w:val="14"/>
              </w:rPr>
              <w:t>whether such “HARQ process number” will use HARQ feedback enabled/disabled</w:t>
            </w:r>
            <w:r>
              <w:rPr>
                <w:sz w:val="14"/>
                <w:szCs w:val="14"/>
              </w:rPr>
              <w:t>.</w:t>
            </w:r>
          </w:p>
        </w:tc>
        <w:tc>
          <w:tcPr>
            <w:tcW w:w="3680" w:type="dxa"/>
          </w:tcPr>
          <w:p w14:paraId="1733455C" w14:textId="77777777" w:rsidR="004C0C44" w:rsidRDefault="004C0C44" w:rsidP="00704657">
            <w:pPr>
              <w:jc w:val="both"/>
              <w:rPr>
                <w:sz w:val="14"/>
                <w:szCs w:val="14"/>
              </w:rPr>
            </w:pPr>
            <w:r>
              <w:rPr>
                <w:sz w:val="14"/>
                <w:szCs w:val="14"/>
              </w:rPr>
              <w:t>4-bits in RRC</w:t>
            </w:r>
          </w:p>
          <w:p w14:paraId="24F89CA9" w14:textId="57126D43" w:rsidR="004C0C44" w:rsidRPr="00097ADE" w:rsidRDefault="004C0C44" w:rsidP="00704657">
            <w:pPr>
              <w:jc w:val="both"/>
              <w:rPr>
                <w:sz w:val="14"/>
                <w:szCs w:val="14"/>
              </w:rPr>
            </w:pPr>
            <w:r>
              <w:rPr>
                <w:sz w:val="14"/>
                <w:szCs w:val="14"/>
              </w:rPr>
              <w:t>Note: I</w:t>
            </w:r>
            <w:r w:rsidR="001940ED">
              <w:rPr>
                <w:sz w:val="14"/>
                <w:szCs w:val="14"/>
              </w:rPr>
              <w:t>t will be configured i</w:t>
            </w:r>
            <w:r>
              <w:rPr>
                <w:sz w:val="14"/>
                <w:szCs w:val="14"/>
              </w:rPr>
              <w:t>n a semi-static manner</w:t>
            </w:r>
            <w:r w:rsidR="001940ED">
              <w:rPr>
                <w:sz w:val="14"/>
                <w:szCs w:val="14"/>
              </w:rPr>
              <w:t xml:space="preserve"> </w:t>
            </w:r>
            <w:r>
              <w:rPr>
                <w:sz w:val="14"/>
                <w:szCs w:val="14"/>
              </w:rPr>
              <w:t>which</w:t>
            </w:r>
            <w:r w:rsidR="001940ED">
              <w:rPr>
                <w:sz w:val="14"/>
                <w:szCs w:val="14"/>
              </w:rPr>
              <w:t xml:space="preserve"> </w:t>
            </w:r>
            <w:r>
              <w:rPr>
                <w:sz w:val="14"/>
                <w:szCs w:val="14"/>
              </w:rPr>
              <w:t>HARQ process</w:t>
            </w:r>
            <w:r w:rsidR="001940ED">
              <w:rPr>
                <w:sz w:val="14"/>
                <w:szCs w:val="14"/>
              </w:rPr>
              <w:t>(</w:t>
            </w:r>
            <w:r>
              <w:rPr>
                <w:sz w:val="14"/>
                <w:szCs w:val="14"/>
              </w:rPr>
              <w:t>es</w:t>
            </w:r>
            <w:r w:rsidR="001940ED">
              <w:rPr>
                <w:sz w:val="14"/>
                <w:szCs w:val="14"/>
              </w:rPr>
              <w:t>)</w:t>
            </w:r>
            <w:r>
              <w:rPr>
                <w:sz w:val="14"/>
                <w:szCs w:val="14"/>
              </w:rPr>
              <w:t xml:space="preserve"> will have their HARQ feedback enabled and disabled, and this will not change until a re-configuration will be performed. Given that there are up to 10/14 HARQ processes in CE Mode A, then 4-bits are required for a semi-static solution.</w:t>
            </w:r>
          </w:p>
        </w:tc>
      </w:tr>
      <w:tr w:rsidR="004C0C44" w14:paraId="4EC0121E" w14:textId="77777777" w:rsidTr="008341AC">
        <w:tc>
          <w:tcPr>
            <w:tcW w:w="1838" w:type="dxa"/>
          </w:tcPr>
          <w:p w14:paraId="168840EC" w14:textId="77777777" w:rsidR="004C0C44" w:rsidRPr="00097ADE" w:rsidRDefault="004C0C44" w:rsidP="00704657">
            <w:pPr>
              <w:jc w:val="both"/>
              <w:rPr>
                <w:b/>
                <w:bCs/>
                <w:sz w:val="14"/>
                <w:szCs w:val="14"/>
              </w:rPr>
            </w:pPr>
            <w:r w:rsidRPr="00097ADE">
              <w:rPr>
                <w:b/>
                <w:bCs/>
                <w:sz w:val="14"/>
                <w:szCs w:val="14"/>
              </w:rPr>
              <w:t>Pros</w:t>
            </w:r>
          </w:p>
        </w:tc>
        <w:tc>
          <w:tcPr>
            <w:tcW w:w="4111" w:type="dxa"/>
          </w:tcPr>
          <w:p w14:paraId="042F6931" w14:textId="77777777" w:rsidR="004C0C44" w:rsidRDefault="004C0C44" w:rsidP="00B213B9">
            <w:pPr>
              <w:pStyle w:val="ListParagraph"/>
              <w:numPr>
                <w:ilvl w:val="0"/>
                <w:numId w:val="22"/>
              </w:numPr>
              <w:jc w:val="both"/>
              <w:rPr>
                <w:sz w:val="14"/>
                <w:szCs w:val="14"/>
                <w:lang w:val="de-DE"/>
              </w:rPr>
            </w:pPr>
            <w:r w:rsidRPr="00526006">
              <w:rPr>
                <w:sz w:val="14"/>
                <w:szCs w:val="14"/>
                <w:lang w:val="de-DE"/>
              </w:rPr>
              <w:t>Only 1-bit is required</w:t>
            </w:r>
            <w:r>
              <w:rPr>
                <w:sz w:val="14"/>
                <w:szCs w:val="14"/>
                <w:lang w:val="de-DE"/>
              </w:rPr>
              <w:t>,</w:t>
            </w:r>
            <w:r w:rsidRPr="00526006">
              <w:rPr>
                <w:sz w:val="14"/>
                <w:szCs w:val="14"/>
                <w:lang w:val="de-DE"/>
              </w:rPr>
              <w:t xml:space="preserve"> since this solution takes advantage that the “HARQ process number” is already indicated via DCI.</w:t>
            </w:r>
          </w:p>
          <w:p w14:paraId="29E32CE8" w14:textId="77777777" w:rsidR="004C0C44" w:rsidRPr="00526006" w:rsidRDefault="004C0C44" w:rsidP="00704657">
            <w:pPr>
              <w:pStyle w:val="ListParagraph"/>
              <w:jc w:val="both"/>
              <w:rPr>
                <w:sz w:val="14"/>
                <w:szCs w:val="14"/>
                <w:lang w:val="de-DE"/>
              </w:rPr>
            </w:pPr>
          </w:p>
          <w:p w14:paraId="0B3E8B4A" w14:textId="77777777" w:rsidR="004C0C44" w:rsidRDefault="004C0C44" w:rsidP="00B213B9">
            <w:pPr>
              <w:pStyle w:val="ListParagraph"/>
              <w:numPr>
                <w:ilvl w:val="0"/>
                <w:numId w:val="22"/>
              </w:numPr>
              <w:jc w:val="both"/>
              <w:rPr>
                <w:sz w:val="14"/>
                <w:szCs w:val="14"/>
                <w:lang w:val="de-DE"/>
              </w:rPr>
            </w:pPr>
            <w:r w:rsidRPr="00526006">
              <w:rPr>
                <w:sz w:val="14"/>
                <w:szCs w:val="14"/>
                <w:lang w:val="de-DE"/>
              </w:rPr>
              <w:t>Dynamic signalling</w:t>
            </w:r>
            <w:r>
              <w:rPr>
                <w:sz w:val="14"/>
                <w:szCs w:val="14"/>
                <w:lang w:val="de-DE"/>
              </w:rPr>
              <w:t xml:space="preserve"> will allow a fast switching even within the same scheduling cycle. This </w:t>
            </w:r>
            <w:r w:rsidRPr="00526006">
              <w:rPr>
                <w:sz w:val="14"/>
                <w:szCs w:val="14"/>
                <w:lang w:val="de-DE"/>
              </w:rPr>
              <w:t>will allow adapting faster to changes/variations in the IoT-NTN scenarios</w:t>
            </w:r>
            <w:r>
              <w:rPr>
                <w:sz w:val="14"/>
                <w:szCs w:val="14"/>
                <w:lang w:val="de-DE"/>
              </w:rPr>
              <w:t>.</w:t>
            </w:r>
          </w:p>
          <w:p w14:paraId="79724289" w14:textId="77777777" w:rsidR="004C0C44" w:rsidRPr="00526006" w:rsidRDefault="004C0C44" w:rsidP="00704657">
            <w:pPr>
              <w:pStyle w:val="ListParagraph"/>
              <w:rPr>
                <w:sz w:val="14"/>
                <w:szCs w:val="14"/>
                <w:lang w:val="de-DE"/>
              </w:rPr>
            </w:pPr>
          </w:p>
          <w:p w14:paraId="2F6F8BDD" w14:textId="77777777" w:rsidR="004C0C44" w:rsidRPr="00526006" w:rsidRDefault="004C0C44" w:rsidP="00B213B9">
            <w:pPr>
              <w:pStyle w:val="ListParagraph"/>
              <w:numPr>
                <w:ilvl w:val="0"/>
                <w:numId w:val="22"/>
              </w:numPr>
              <w:jc w:val="both"/>
              <w:rPr>
                <w:sz w:val="14"/>
                <w:szCs w:val="14"/>
                <w:lang w:val="de-DE"/>
              </w:rPr>
            </w:pPr>
            <w:r>
              <w:rPr>
                <w:sz w:val="14"/>
                <w:szCs w:val="14"/>
                <w:lang w:val="de-DE"/>
              </w:rPr>
              <w:t>This solution is agnostic to CE Mode A and CE Mode B.</w:t>
            </w:r>
          </w:p>
        </w:tc>
        <w:tc>
          <w:tcPr>
            <w:tcW w:w="3680" w:type="dxa"/>
          </w:tcPr>
          <w:p w14:paraId="65556E21" w14:textId="77777777" w:rsidR="004C0C44" w:rsidRPr="00596A40" w:rsidRDefault="004C0C44" w:rsidP="00B213B9">
            <w:pPr>
              <w:pStyle w:val="ListParagraph"/>
              <w:numPr>
                <w:ilvl w:val="0"/>
                <w:numId w:val="22"/>
              </w:numPr>
              <w:jc w:val="both"/>
              <w:rPr>
                <w:sz w:val="14"/>
                <w:szCs w:val="14"/>
                <w:lang w:val="de-DE"/>
              </w:rPr>
            </w:pPr>
            <w:r>
              <w:rPr>
                <w:sz w:val="14"/>
                <w:szCs w:val="14"/>
                <w:lang w:val="de-DE"/>
              </w:rPr>
              <w:t>The solution will be to some extent as the one in NR-NTN, but in this case using 4-bits and renaming</w:t>
            </w:r>
            <w:r w:rsidRPr="00322DC3">
              <w:rPr>
                <w:sz w:val="14"/>
                <w:szCs w:val="14"/>
                <w:lang w:val="de-DE"/>
              </w:rPr>
              <w:t xml:space="preserve"> “HARQ process ID” </w:t>
            </w:r>
            <w:r>
              <w:rPr>
                <w:sz w:val="14"/>
                <w:szCs w:val="14"/>
                <w:lang w:val="de-DE"/>
              </w:rPr>
              <w:t>by</w:t>
            </w:r>
            <w:r w:rsidRPr="00322DC3">
              <w:rPr>
                <w:sz w:val="14"/>
                <w:szCs w:val="14"/>
                <w:lang w:val="de-DE"/>
              </w:rPr>
              <w:t xml:space="preserve"> “HARQ process number”</w:t>
            </w:r>
            <w:r>
              <w:rPr>
                <w:sz w:val="14"/>
                <w:szCs w:val="14"/>
                <w:lang w:val="de-DE"/>
              </w:rPr>
              <w:t xml:space="preserve"> will be needed.</w:t>
            </w:r>
          </w:p>
          <w:p w14:paraId="196EE7D2" w14:textId="77777777" w:rsidR="004C0C44" w:rsidRPr="00097ADE" w:rsidRDefault="004C0C44" w:rsidP="00704657">
            <w:pPr>
              <w:jc w:val="both"/>
              <w:rPr>
                <w:sz w:val="14"/>
                <w:szCs w:val="14"/>
              </w:rPr>
            </w:pPr>
          </w:p>
        </w:tc>
      </w:tr>
      <w:tr w:rsidR="004C0C44" w14:paraId="20F91ED9" w14:textId="77777777" w:rsidTr="008341AC">
        <w:tc>
          <w:tcPr>
            <w:tcW w:w="1838" w:type="dxa"/>
          </w:tcPr>
          <w:p w14:paraId="3983F6E5" w14:textId="77777777" w:rsidR="004C0C44" w:rsidRPr="00097ADE" w:rsidRDefault="004C0C44" w:rsidP="00704657">
            <w:pPr>
              <w:jc w:val="both"/>
              <w:rPr>
                <w:b/>
                <w:bCs/>
                <w:sz w:val="14"/>
                <w:szCs w:val="14"/>
              </w:rPr>
            </w:pPr>
            <w:r w:rsidRPr="00097ADE">
              <w:rPr>
                <w:b/>
                <w:bCs/>
                <w:sz w:val="14"/>
                <w:szCs w:val="14"/>
              </w:rPr>
              <w:lastRenderedPageBreak/>
              <w:t>cons</w:t>
            </w:r>
          </w:p>
        </w:tc>
        <w:tc>
          <w:tcPr>
            <w:tcW w:w="4111" w:type="dxa"/>
          </w:tcPr>
          <w:p w14:paraId="16A37B8C" w14:textId="2BAB7F4D" w:rsidR="004C0C44" w:rsidRDefault="004C0C44" w:rsidP="00B213B9">
            <w:pPr>
              <w:pStyle w:val="ListParagraph"/>
              <w:numPr>
                <w:ilvl w:val="0"/>
                <w:numId w:val="23"/>
              </w:numPr>
              <w:jc w:val="both"/>
              <w:rPr>
                <w:sz w:val="14"/>
                <w:szCs w:val="14"/>
                <w:lang w:val="de-DE"/>
              </w:rPr>
            </w:pPr>
            <w:r>
              <w:rPr>
                <w:sz w:val="14"/>
                <w:szCs w:val="14"/>
                <w:lang w:val="de-DE"/>
              </w:rPr>
              <w:t xml:space="preserve">1 new bit may need to be added in DCI in case no legacy </w:t>
            </w:r>
            <w:r w:rsidR="008C13F5">
              <w:rPr>
                <w:sz w:val="14"/>
                <w:szCs w:val="14"/>
                <w:lang w:val="de-DE"/>
              </w:rPr>
              <w:t xml:space="preserve">bit </w:t>
            </w:r>
            <w:r>
              <w:rPr>
                <w:sz w:val="14"/>
                <w:szCs w:val="14"/>
                <w:lang w:val="de-DE"/>
              </w:rPr>
              <w:t>can be re-purposed.</w:t>
            </w:r>
          </w:p>
          <w:p w14:paraId="18C760DC" w14:textId="77777777" w:rsidR="004C0C44" w:rsidRPr="00097ADE" w:rsidRDefault="004C0C44" w:rsidP="00704657">
            <w:pPr>
              <w:jc w:val="both"/>
              <w:rPr>
                <w:sz w:val="14"/>
                <w:szCs w:val="14"/>
              </w:rPr>
            </w:pPr>
          </w:p>
        </w:tc>
        <w:tc>
          <w:tcPr>
            <w:tcW w:w="3680" w:type="dxa"/>
          </w:tcPr>
          <w:p w14:paraId="33DB97D6" w14:textId="77777777" w:rsidR="004C0C44" w:rsidRDefault="004C0C44" w:rsidP="00B213B9">
            <w:pPr>
              <w:pStyle w:val="ListParagraph"/>
              <w:numPr>
                <w:ilvl w:val="0"/>
                <w:numId w:val="23"/>
              </w:numPr>
              <w:jc w:val="both"/>
              <w:rPr>
                <w:sz w:val="14"/>
                <w:szCs w:val="14"/>
                <w:lang w:val="de-DE"/>
              </w:rPr>
            </w:pPr>
            <w:r>
              <w:rPr>
                <w:sz w:val="14"/>
                <w:szCs w:val="14"/>
                <w:lang w:val="de-DE"/>
              </w:rPr>
              <w:t>W</w:t>
            </w:r>
            <w:r w:rsidRPr="00526006">
              <w:rPr>
                <w:sz w:val="14"/>
                <w:szCs w:val="14"/>
                <w:lang w:val="de-DE"/>
              </w:rPr>
              <w:t xml:space="preserve">ith RRC signalling, it will be required </w:t>
            </w:r>
            <w:r>
              <w:rPr>
                <w:sz w:val="14"/>
                <w:szCs w:val="14"/>
                <w:lang w:val="de-DE"/>
              </w:rPr>
              <w:t>transmitting first</w:t>
            </w:r>
            <w:r w:rsidRPr="00526006">
              <w:rPr>
                <w:sz w:val="14"/>
                <w:szCs w:val="14"/>
                <w:lang w:val="de-DE"/>
              </w:rPr>
              <w:t xml:space="preserve"> a re-configuration</w:t>
            </w:r>
            <w:r>
              <w:rPr>
                <w:sz w:val="14"/>
                <w:szCs w:val="14"/>
                <w:lang w:val="de-DE"/>
              </w:rPr>
              <w:t xml:space="preserve"> message</w:t>
            </w:r>
            <w:r w:rsidRPr="00526006">
              <w:rPr>
                <w:sz w:val="14"/>
                <w:szCs w:val="14"/>
                <w:lang w:val="de-DE"/>
              </w:rPr>
              <w:t xml:space="preserve"> to enabling/disabling HARQ feedback before </w:t>
            </w:r>
            <w:r>
              <w:rPr>
                <w:sz w:val="14"/>
                <w:szCs w:val="14"/>
                <w:lang w:val="de-DE"/>
              </w:rPr>
              <w:t>we will be</w:t>
            </w:r>
            <w:r w:rsidRPr="00526006">
              <w:rPr>
                <w:sz w:val="14"/>
                <w:szCs w:val="14"/>
                <w:lang w:val="de-DE"/>
              </w:rPr>
              <w:t xml:space="preserve"> able to act on </w:t>
            </w:r>
            <w:r>
              <w:rPr>
                <w:sz w:val="14"/>
                <w:szCs w:val="14"/>
                <w:lang w:val="de-DE"/>
              </w:rPr>
              <w:t>a given</w:t>
            </w:r>
            <w:r w:rsidRPr="00526006">
              <w:rPr>
                <w:sz w:val="14"/>
                <w:szCs w:val="14"/>
                <w:lang w:val="de-DE"/>
              </w:rPr>
              <w:t xml:space="preserve"> scenario</w:t>
            </w:r>
            <w:r>
              <w:rPr>
                <w:sz w:val="14"/>
                <w:szCs w:val="14"/>
                <w:lang w:val="de-DE"/>
              </w:rPr>
              <w:t>.</w:t>
            </w:r>
          </w:p>
          <w:p w14:paraId="0A5CC443" w14:textId="77777777" w:rsidR="004C0C44" w:rsidRDefault="004C0C44" w:rsidP="00704657">
            <w:pPr>
              <w:pStyle w:val="ListParagraph"/>
              <w:jc w:val="both"/>
              <w:rPr>
                <w:sz w:val="14"/>
                <w:szCs w:val="14"/>
                <w:lang w:val="de-DE"/>
              </w:rPr>
            </w:pPr>
          </w:p>
          <w:p w14:paraId="23E1F7D0" w14:textId="77777777" w:rsidR="004C0C44" w:rsidRDefault="004C0C44" w:rsidP="00B213B9">
            <w:pPr>
              <w:pStyle w:val="ListParagraph"/>
              <w:numPr>
                <w:ilvl w:val="0"/>
                <w:numId w:val="23"/>
              </w:numPr>
              <w:jc w:val="both"/>
              <w:rPr>
                <w:sz w:val="14"/>
                <w:szCs w:val="14"/>
                <w:lang w:val="de-DE"/>
              </w:rPr>
            </w:pPr>
            <w:r>
              <w:rPr>
                <w:sz w:val="14"/>
                <w:szCs w:val="14"/>
                <w:lang w:val="de-DE"/>
              </w:rPr>
              <w:t>CE Mode A and CE Mode B support different number of HARQ processes, thus the RRC solution may not be agnostic if there are two RRC fields, one for CE Mode A and another one for CE Mode B.</w:t>
            </w:r>
          </w:p>
          <w:p w14:paraId="2EECA641" w14:textId="77777777" w:rsidR="004C0C44" w:rsidRPr="008B66C8" w:rsidRDefault="004C0C44" w:rsidP="00704657">
            <w:pPr>
              <w:pStyle w:val="ListParagraph"/>
              <w:rPr>
                <w:sz w:val="14"/>
                <w:szCs w:val="14"/>
                <w:lang w:val="de-DE"/>
              </w:rPr>
            </w:pPr>
          </w:p>
          <w:p w14:paraId="319E4CE8" w14:textId="4C1C187F" w:rsidR="004C0C44" w:rsidRPr="008341AC" w:rsidRDefault="004C0C44" w:rsidP="00704657">
            <w:pPr>
              <w:pStyle w:val="ListParagraph"/>
              <w:numPr>
                <w:ilvl w:val="0"/>
                <w:numId w:val="23"/>
              </w:numPr>
              <w:jc w:val="both"/>
              <w:rPr>
                <w:sz w:val="14"/>
                <w:szCs w:val="14"/>
                <w:lang w:val="de-DE"/>
              </w:rPr>
            </w:pPr>
            <w:r>
              <w:rPr>
                <w:sz w:val="14"/>
                <w:szCs w:val="14"/>
                <w:lang w:val="de-DE"/>
              </w:rPr>
              <w:t>Overall, the RRC-based switching requires more bits than a DCI-based solution.</w:t>
            </w:r>
          </w:p>
        </w:tc>
      </w:tr>
    </w:tbl>
    <w:p w14:paraId="10213803" w14:textId="77777777" w:rsidR="004C0C44" w:rsidRDefault="004C0C44" w:rsidP="004C0C44">
      <w:pPr>
        <w:jc w:val="both"/>
      </w:pPr>
      <w:r>
        <w:t xml:space="preserve"> </w:t>
      </w:r>
    </w:p>
    <w:p w14:paraId="5B7E8C66" w14:textId="77777777" w:rsidR="004C0C44" w:rsidRDefault="004C0C44" w:rsidP="004C0C44">
      <w:pPr>
        <w:pStyle w:val="Observation"/>
        <w:ind w:left="1701" w:hanging="1701"/>
      </w:pPr>
      <w:bookmarkStart w:id="0" w:name="_Toc115380675"/>
      <w:r>
        <w:t xml:space="preserve">To </w:t>
      </w:r>
      <w:bookmarkStart w:id="1" w:name="_Hlk109730070"/>
      <w:r>
        <w:t>indicate whether HARQ feedback is enabled/disabled</w:t>
      </w:r>
      <w:r w:rsidRPr="005A06A6">
        <w:t xml:space="preserve"> </w:t>
      </w:r>
      <w:r>
        <w:t>for “LTE-MTC over NTN”</w:t>
      </w:r>
      <w:bookmarkEnd w:id="1"/>
      <w:r>
        <w:t>, the following advantages have been identified if dynamic signalling via DCI is used:</w:t>
      </w:r>
      <w:bookmarkEnd w:id="0"/>
    </w:p>
    <w:p w14:paraId="20DD00B2" w14:textId="77777777" w:rsidR="004C0C44" w:rsidRDefault="004C0C44" w:rsidP="00B213B9">
      <w:pPr>
        <w:pStyle w:val="Observation"/>
        <w:numPr>
          <w:ilvl w:val="0"/>
          <w:numId w:val="19"/>
        </w:numPr>
      </w:pPr>
      <w:bookmarkStart w:id="2" w:name="_Toc115380676"/>
      <w:r>
        <w:t>In legacy, the “</w:t>
      </w:r>
      <w:r w:rsidRPr="00B7079B">
        <w:rPr>
          <w:i/>
          <w:iCs/>
        </w:rPr>
        <w:t>HARQ process number</w:t>
      </w:r>
      <w:r>
        <w:t>” is indicated via DCI in both CE Mode A and B, thus as complementary information it can be indicated whether such “</w:t>
      </w:r>
      <w:r w:rsidRPr="00B7079B">
        <w:rPr>
          <w:i/>
          <w:iCs/>
        </w:rPr>
        <w:t>HARQ process number</w:t>
      </w:r>
      <w:r>
        <w:t>” will use HARQ feedback enabled/disabled.</w:t>
      </w:r>
      <w:bookmarkEnd w:id="2"/>
    </w:p>
    <w:p w14:paraId="597065C2" w14:textId="2DDD628C" w:rsidR="004C0C44" w:rsidRDefault="004C0C44" w:rsidP="00B213B9">
      <w:pPr>
        <w:pStyle w:val="Observation"/>
        <w:numPr>
          <w:ilvl w:val="0"/>
          <w:numId w:val="19"/>
        </w:numPr>
      </w:pPr>
      <w:bookmarkStart w:id="3" w:name="_Toc115380677"/>
      <w:r>
        <w:t xml:space="preserve">Dynamic signalling will allow </w:t>
      </w:r>
      <w:r w:rsidRPr="004F694F">
        <w:t>adapt</w:t>
      </w:r>
      <w:r>
        <w:t>ing</w:t>
      </w:r>
      <w:r w:rsidRPr="004F694F">
        <w:t xml:space="preserve"> faster to changes</w:t>
      </w:r>
      <w:r>
        <w:t>/variations</w:t>
      </w:r>
      <w:r w:rsidRPr="004F694F">
        <w:t xml:space="preserve"> in the IoT-NTN scenarios. Otherwise</w:t>
      </w:r>
      <w:r>
        <w:t>, RRC signalling</w:t>
      </w:r>
      <w:r w:rsidRPr="004F694F">
        <w:t xml:space="preserve"> </w:t>
      </w:r>
      <w:r w:rsidR="008C13F5">
        <w:t>requires</w:t>
      </w:r>
      <w:r>
        <w:t xml:space="preserve"> performing first </w:t>
      </w:r>
      <w:r w:rsidRPr="004F694F">
        <w:t>a re-configuration to enabling/disabling HARQ feedback</w:t>
      </w:r>
      <w:r>
        <w:t xml:space="preserve"> before being able to act on the </w:t>
      </w:r>
      <w:r w:rsidR="00BF0693">
        <w:t xml:space="preserve">needs of a given </w:t>
      </w:r>
      <w:r>
        <w:t>scenario.</w:t>
      </w:r>
      <w:bookmarkEnd w:id="3"/>
    </w:p>
    <w:p w14:paraId="47FCAD0D" w14:textId="77777777" w:rsidR="004C0C44" w:rsidRDefault="004C0C44" w:rsidP="004C0C44">
      <w:pPr>
        <w:pStyle w:val="Proposal"/>
      </w:pPr>
      <w:bookmarkStart w:id="4" w:name="_Toc115380706"/>
      <w:r>
        <w:t>For “LTE-MTC over NTN” t</w:t>
      </w:r>
      <w:r w:rsidRPr="00727547">
        <w:t>o configure/indicate enabling/disabling o</w:t>
      </w:r>
      <w:r>
        <w:t>f</w:t>
      </w:r>
      <w:r w:rsidRPr="00727547">
        <w:t xml:space="preserve"> HARQ feedback for downlink transmission</w:t>
      </w:r>
      <w:r>
        <w:t>, RAN1 down-selects between “Option 1 (i.e., semi-static signalling via RRC)” and “Option 3 (i.e., dynamic signalling via DCI)”, FFS details.</w:t>
      </w:r>
      <w:bookmarkEnd w:id="4"/>
    </w:p>
    <w:p w14:paraId="4387A2F0" w14:textId="34498CB1" w:rsidR="004C0C44" w:rsidRDefault="004C0C44" w:rsidP="004C0C44">
      <w:pPr>
        <w:pStyle w:val="Heading2"/>
      </w:pPr>
      <w:r>
        <w:t>2.2</w:t>
      </w:r>
      <w:r>
        <w:tab/>
        <w:t xml:space="preserve">NB-IoT on </w:t>
      </w:r>
      <w:r w:rsidR="00BF0693">
        <w:t xml:space="preserve">how </w:t>
      </w:r>
      <w:r>
        <w:t>“</w:t>
      </w:r>
      <w:r w:rsidRPr="003048E2">
        <w:rPr>
          <w:rFonts w:ascii="Times New Roman" w:hAnsi="Times New Roman"/>
          <w:i/>
          <w:iCs/>
        </w:rPr>
        <w:t>to configure/indicate enabling/disabling on HARQ feedback for downlink transmission</w:t>
      </w:r>
      <w:r>
        <w:t>”</w:t>
      </w:r>
    </w:p>
    <w:p w14:paraId="4582BB83" w14:textId="77777777" w:rsidR="004C0C44" w:rsidRDefault="004C0C44" w:rsidP="004C0C44">
      <w:pPr>
        <w:jc w:val="both"/>
      </w:pPr>
      <w:r>
        <w:t>For NB-IoT, there are up to two HARQ processes available and similarly to LTE-MTC the “</w:t>
      </w:r>
      <w:r w:rsidRPr="00B7079B">
        <w:rPr>
          <w:i/>
          <w:iCs/>
        </w:rPr>
        <w:t>HARQ process number</w:t>
      </w:r>
      <w:r>
        <w:t>” is indicated dynamically via DCI Format N1. Thus overall, the same advantages identified in section 2.1 on the usage of dynamic signalling (i.e., DCI) also hold for NB-IoT.</w:t>
      </w:r>
    </w:p>
    <w:p w14:paraId="61E36C71" w14:textId="15F27163" w:rsidR="008341AC" w:rsidRPr="008341AC" w:rsidRDefault="004C0C44" w:rsidP="008341AC">
      <w:pPr>
        <w:jc w:val="both"/>
      </w:pPr>
      <w:r>
        <w:t xml:space="preserve">The table below compares a “DCI-based switching” and </w:t>
      </w:r>
      <w:r w:rsidR="00A2118C">
        <w:t xml:space="preserve">an </w:t>
      </w:r>
      <w:r>
        <w:t>“RRC-based switching” when used to enable/disable HARQ feedback</w:t>
      </w:r>
      <w:r w:rsidR="00BF0693">
        <w:t xml:space="preserve"> for NB-IoT over NTN</w:t>
      </w:r>
      <w:r>
        <w:t>.</w:t>
      </w:r>
    </w:p>
    <w:p w14:paraId="5DF59D5F" w14:textId="20B52F47" w:rsidR="001D49B3" w:rsidRPr="00A87D48" w:rsidRDefault="001D49B3" w:rsidP="001D49B3">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2</w:t>
      </w:r>
      <w:r w:rsidRPr="00A87D48">
        <w:rPr>
          <w:rFonts w:ascii="Times New Roman" w:hAnsi="Times New Roman"/>
          <w:sz w:val="16"/>
          <w:szCs w:val="16"/>
          <w:lang w:eastAsia="ja-JP"/>
        </w:rPr>
        <w:t xml:space="preserve">: </w:t>
      </w:r>
      <w:r w:rsidRPr="001D49B3">
        <w:rPr>
          <w:rFonts w:ascii="Times New Roman" w:hAnsi="Times New Roman"/>
          <w:sz w:val="16"/>
          <w:szCs w:val="16"/>
          <w:lang w:eastAsia="ja-JP"/>
        </w:rPr>
        <w:t>“DCI-based switching” and “RRC-based switching”</w:t>
      </w:r>
      <w:r>
        <w:rPr>
          <w:rFonts w:ascii="Times New Roman" w:hAnsi="Times New Roman"/>
          <w:sz w:val="16"/>
          <w:szCs w:val="16"/>
          <w:lang w:eastAsia="ja-JP"/>
        </w:rPr>
        <w:t xml:space="preserve"> comparison for NB-IoT over NTN</w:t>
      </w:r>
      <w:r w:rsidRPr="00A87D48">
        <w:rPr>
          <w:rFonts w:ascii="Times New Roman" w:hAnsi="Times New Roman"/>
          <w:sz w:val="16"/>
          <w:szCs w:val="16"/>
          <w:lang w:eastAsia="ja-JP"/>
        </w:rPr>
        <w:t>.</w:t>
      </w:r>
    </w:p>
    <w:tbl>
      <w:tblPr>
        <w:tblStyle w:val="TableGrid"/>
        <w:tblW w:w="0" w:type="auto"/>
        <w:tblLook w:val="04A0" w:firstRow="1" w:lastRow="0" w:firstColumn="1" w:lastColumn="0" w:noHBand="0" w:noVBand="1"/>
      </w:tblPr>
      <w:tblGrid>
        <w:gridCol w:w="1980"/>
        <w:gridCol w:w="3969"/>
        <w:gridCol w:w="3680"/>
      </w:tblGrid>
      <w:tr w:rsidR="004C0C44" w14:paraId="6A90EDE6" w14:textId="77777777" w:rsidTr="008341AC">
        <w:tc>
          <w:tcPr>
            <w:tcW w:w="1980" w:type="dxa"/>
          </w:tcPr>
          <w:p w14:paraId="636D0050" w14:textId="77777777" w:rsidR="004C0C44" w:rsidRPr="00097ADE" w:rsidRDefault="004C0C44" w:rsidP="00704657">
            <w:pPr>
              <w:jc w:val="both"/>
              <w:rPr>
                <w:sz w:val="14"/>
                <w:szCs w:val="14"/>
              </w:rPr>
            </w:pPr>
          </w:p>
        </w:tc>
        <w:tc>
          <w:tcPr>
            <w:tcW w:w="3969" w:type="dxa"/>
          </w:tcPr>
          <w:p w14:paraId="67B1F758" w14:textId="77777777" w:rsidR="004C0C44" w:rsidRPr="00097ADE" w:rsidRDefault="004C0C44" w:rsidP="00704657">
            <w:pPr>
              <w:jc w:val="center"/>
              <w:rPr>
                <w:b/>
                <w:bCs/>
                <w:sz w:val="14"/>
                <w:szCs w:val="14"/>
              </w:rPr>
            </w:pPr>
            <w:r w:rsidRPr="00097ADE">
              <w:rPr>
                <w:b/>
                <w:bCs/>
                <w:sz w:val="14"/>
                <w:szCs w:val="14"/>
              </w:rPr>
              <w:t>DCI-based switching to enable/disable HARQ feedback</w:t>
            </w:r>
          </w:p>
        </w:tc>
        <w:tc>
          <w:tcPr>
            <w:tcW w:w="3680" w:type="dxa"/>
          </w:tcPr>
          <w:p w14:paraId="316AD598" w14:textId="77777777" w:rsidR="004C0C44" w:rsidRPr="00097ADE" w:rsidRDefault="004C0C44" w:rsidP="00704657">
            <w:pPr>
              <w:jc w:val="center"/>
              <w:rPr>
                <w:b/>
                <w:bCs/>
                <w:sz w:val="14"/>
                <w:szCs w:val="14"/>
              </w:rPr>
            </w:pPr>
            <w:r w:rsidRPr="00097ADE">
              <w:rPr>
                <w:b/>
                <w:bCs/>
                <w:sz w:val="14"/>
                <w:szCs w:val="14"/>
              </w:rPr>
              <w:t>RRC-based switching to enable/disable HARQ feedback</w:t>
            </w:r>
          </w:p>
        </w:tc>
      </w:tr>
      <w:tr w:rsidR="004C0C44" w14:paraId="7C5F88ED" w14:textId="77777777" w:rsidTr="008341AC">
        <w:trPr>
          <w:trHeight w:val="4950"/>
        </w:trPr>
        <w:tc>
          <w:tcPr>
            <w:tcW w:w="1980" w:type="dxa"/>
          </w:tcPr>
          <w:p w14:paraId="55038DE9" w14:textId="77777777" w:rsidR="004C0C44" w:rsidRPr="00097ADE" w:rsidRDefault="004C0C44" w:rsidP="00704657">
            <w:pPr>
              <w:jc w:val="both"/>
              <w:rPr>
                <w:b/>
                <w:bCs/>
                <w:sz w:val="14"/>
                <w:szCs w:val="14"/>
              </w:rPr>
            </w:pPr>
            <w:r w:rsidRPr="00097ADE">
              <w:rPr>
                <w:b/>
                <w:bCs/>
                <w:sz w:val="14"/>
                <w:szCs w:val="14"/>
              </w:rPr>
              <w:t>Reference Legacy Design</w:t>
            </w:r>
          </w:p>
        </w:tc>
        <w:tc>
          <w:tcPr>
            <w:tcW w:w="3969" w:type="dxa"/>
          </w:tcPr>
          <w:p w14:paraId="0467F911" w14:textId="77777777" w:rsidR="004C0C44" w:rsidRPr="00097ADE" w:rsidRDefault="004C0C44" w:rsidP="00704657">
            <w:pPr>
              <w:jc w:val="both"/>
              <w:rPr>
                <w:sz w:val="14"/>
                <w:szCs w:val="14"/>
              </w:rPr>
            </w:pPr>
            <w:r w:rsidRPr="00097ADE">
              <w:rPr>
                <w:sz w:val="14"/>
                <w:szCs w:val="14"/>
              </w:rPr>
              <w:t xml:space="preserve">The “HARQ process number” in </w:t>
            </w:r>
            <w:r>
              <w:rPr>
                <w:sz w:val="14"/>
                <w:szCs w:val="14"/>
              </w:rPr>
              <w:t>NB-IoT</w:t>
            </w:r>
            <w:r w:rsidRPr="00097ADE">
              <w:rPr>
                <w:sz w:val="14"/>
                <w:szCs w:val="14"/>
              </w:rPr>
              <w:t xml:space="preserve"> is already dynamically indicated: </w:t>
            </w:r>
          </w:p>
          <w:p w14:paraId="23CAB75A" w14:textId="77777777" w:rsidR="004C0C44" w:rsidRPr="004B0BA0" w:rsidRDefault="004C0C44" w:rsidP="00704657">
            <w:pPr>
              <w:pStyle w:val="Heading5"/>
              <w:spacing w:after="0"/>
              <w:outlineLvl w:val="4"/>
              <w:rPr>
                <w:sz w:val="14"/>
                <w:szCs w:val="14"/>
              </w:rPr>
            </w:pPr>
            <w:r w:rsidRPr="004B0BA0">
              <w:rPr>
                <w:sz w:val="14"/>
                <w:szCs w:val="14"/>
              </w:rPr>
              <w:t>6.4.3.2</w:t>
            </w:r>
            <w:r w:rsidRPr="004B0BA0">
              <w:rPr>
                <w:sz w:val="14"/>
                <w:szCs w:val="14"/>
              </w:rPr>
              <w:tab/>
              <w:t>DCI Format N1</w:t>
            </w:r>
          </w:p>
          <w:p w14:paraId="32E8B7AF" w14:textId="77777777" w:rsidR="004C0C44" w:rsidRPr="004B0BA0" w:rsidRDefault="004C0C44" w:rsidP="00704657">
            <w:pPr>
              <w:pStyle w:val="Heading5"/>
              <w:spacing w:after="0"/>
              <w:jc w:val="center"/>
              <w:outlineLvl w:val="4"/>
              <w:rPr>
                <w:sz w:val="14"/>
                <w:szCs w:val="14"/>
              </w:rPr>
            </w:pPr>
            <w:r w:rsidRPr="004B0BA0">
              <w:rPr>
                <w:sz w:val="14"/>
                <w:szCs w:val="14"/>
              </w:rPr>
              <w:t>.</w:t>
            </w:r>
          </w:p>
          <w:p w14:paraId="24DB9310" w14:textId="77777777" w:rsidR="004C0C44" w:rsidRPr="004B0BA0" w:rsidRDefault="004C0C44" w:rsidP="00704657">
            <w:pPr>
              <w:pStyle w:val="Heading5"/>
              <w:spacing w:after="0"/>
              <w:jc w:val="center"/>
              <w:outlineLvl w:val="4"/>
              <w:rPr>
                <w:sz w:val="14"/>
                <w:szCs w:val="14"/>
              </w:rPr>
            </w:pPr>
            <w:r w:rsidRPr="004B0BA0">
              <w:rPr>
                <w:sz w:val="14"/>
                <w:szCs w:val="14"/>
              </w:rPr>
              <w:t>.</w:t>
            </w:r>
          </w:p>
          <w:p w14:paraId="16A5822A" w14:textId="77777777" w:rsidR="004C0C44" w:rsidRPr="004B0BA0" w:rsidRDefault="004C0C44" w:rsidP="00704657">
            <w:pPr>
              <w:pStyle w:val="Heading5"/>
              <w:spacing w:after="0"/>
              <w:jc w:val="center"/>
              <w:outlineLvl w:val="4"/>
              <w:rPr>
                <w:sz w:val="14"/>
                <w:szCs w:val="14"/>
              </w:rPr>
            </w:pPr>
            <w:r w:rsidRPr="004B0BA0">
              <w:rPr>
                <w:sz w:val="14"/>
                <w:szCs w:val="14"/>
              </w:rPr>
              <w:t>.</w:t>
            </w:r>
          </w:p>
          <w:p w14:paraId="667F4552" w14:textId="77777777" w:rsidR="004C0C44" w:rsidRPr="00097ADE" w:rsidRDefault="004C0C44" w:rsidP="00704657">
            <w:pPr>
              <w:jc w:val="both"/>
              <w:rPr>
                <w:sz w:val="14"/>
                <w:szCs w:val="14"/>
              </w:rPr>
            </w:pPr>
            <w:r w:rsidRPr="004B0BA0">
              <w:rPr>
                <w:sz w:val="14"/>
                <w:szCs w:val="14"/>
              </w:rPr>
              <w:t>-</w:t>
            </w:r>
            <w:r w:rsidRPr="004B0BA0">
              <w:rPr>
                <w:sz w:val="14"/>
                <w:szCs w:val="14"/>
              </w:rPr>
              <w:tab/>
              <w:t>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New data indicator for the second TB.</w:t>
            </w:r>
          </w:p>
        </w:tc>
        <w:tc>
          <w:tcPr>
            <w:tcW w:w="3680" w:type="dxa"/>
          </w:tcPr>
          <w:p w14:paraId="3B93403E" w14:textId="77777777" w:rsidR="004C0C44" w:rsidRDefault="004C0C44" w:rsidP="00704657">
            <w:pPr>
              <w:jc w:val="both"/>
              <w:rPr>
                <w:sz w:val="14"/>
                <w:szCs w:val="14"/>
              </w:rPr>
            </w:pPr>
            <w:r w:rsidRPr="00097ADE">
              <w:rPr>
                <w:sz w:val="14"/>
                <w:szCs w:val="14"/>
              </w:rPr>
              <w:t xml:space="preserve">The </w:t>
            </w:r>
            <w:r>
              <w:rPr>
                <w:sz w:val="14"/>
                <w:szCs w:val="14"/>
              </w:rPr>
              <w:t>NR-NTN semi-static switching is as follows:</w:t>
            </w:r>
          </w:p>
          <w:p w14:paraId="1B14621E" w14:textId="77777777" w:rsidR="004C0C44" w:rsidRPr="00714BF9" w:rsidRDefault="004C0C44" w:rsidP="00704657">
            <w:pPr>
              <w:pStyle w:val="TH"/>
              <w:rPr>
                <w:sz w:val="14"/>
                <w:szCs w:val="14"/>
              </w:rPr>
            </w:pPr>
            <w:r w:rsidRPr="00714BF9">
              <w:rPr>
                <w:i/>
                <w:sz w:val="14"/>
                <w:szCs w:val="14"/>
              </w:rPr>
              <w:t>PDSCH-ServingCellConfig</w:t>
            </w:r>
            <w:r w:rsidRPr="00714BF9">
              <w:rPr>
                <w:sz w:val="14"/>
                <w:szCs w:val="14"/>
              </w:rPr>
              <w:t xml:space="preserve"> information element</w:t>
            </w:r>
          </w:p>
          <w:p w14:paraId="7804D955" w14:textId="77777777" w:rsidR="004C0C44" w:rsidRPr="00714BF9" w:rsidRDefault="004C0C44" w:rsidP="00704657">
            <w:pPr>
              <w:pStyle w:val="PL"/>
              <w:rPr>
                <w:color w:val="808080"/>
                <w:sz w:val="14"/>
                <w:szCs w:val="14"/>
              </w:rPr>
            </w:pPr>
            <w:r w:rsidRPr="00714BF9">
              <w:rPr>
                <w:color w:val="808080"/>
                <w:sz w:val="14"/>
                <w:szCs w:val="14"/>
              </w:rPr>
              <w:t>-- ASN1START</w:t>
            </w:r>
          </w:p>
          <w:p w14:paraId="6D129A2C" w14:textId="77777777" w:rsidR="004C0C44" w:rsidRPr="00714BF9" w:rsidRDefault="004C0C44" w:rsidP="00704657">
            <w:pPr>
              <w:pStyle w:val="PL"/>
              <w:rPr>
                <w:color w:val="808080"/>
                <w:sz w:val="14"/>
                <w:szCs w:val="14"/>
              </w:rPr>
            </w:pPr>
            <w:r w:rsidRPr="00714BF9">
              <w:rPr>
                <w:color w:val="808080"/>
                <w:sz w:val="14"/>
                <w:szCs w:val="14"/>
              </w:rPr>
              <w:t>-- TAG-PDSCH-SERVINGCELLCONFIG-START</w:t>
            </w:r>
          </w:p>
          <w:p w14:paraId="7DB17368" w14:textId="77777777" w:rsidR="004C0C44" w:rsidRPr="00714BF9" w:rsidRDefault="004C0C44" w:rsidP="00704657">
            <w:pPr>
              <w:pStyle w:val="PL"/>
              <w:rPr>
                <w:sz w:val="14"/>
                <w:szCs w:val="14"/>
              </w:rPr>
            </w:pPr>
          </w:p>
          <w:p w14:paraId="1BA54C80" w14:textId="77777777" w:rsidR="004C0C44" w:rsidRPr="00714BF9" w:rsidRDefault="004C0C44" w:rsidP="00704657">
            <w:pPr>
              <w:pStyle w:val="PL"/>
              <w:rPr>
                <w:sz w:val="14"/>
                <w:szCs w:val="14"/>
              </w:rPr>
            </w:pPr>
            <w:r w:rsidRPr="00714BF9">
              <w:rPr>
                <w:sz w:val="14"/>
                <w:szCs w:val="14"/>
              </w:rPr>
              <w:t xml:space="preserve">    [[</w:t>
            </w:r>
          </w:p>
          <w:p w14:paraId="2F749DBF" w14:textId="77777777" w:rsidR="004C0C44" w:rsidRPr="00714BF9" w:rsidRDefault="004C0C44" w:rsidP="00704657">
            <w:pPr>
              <w:pStyle w:val="PL"/>
              <w:rPr>
                <w:color w:val="808080"/>
                <w:sz w:val="14"/>
                <w:szCs w:val="14"/>
              </w:rPr>
            </w:pPr>
            <w:r w:rsidRPr="00714BF9">
              <w:rPr>
                <w:sz w:val="14"/>
                <w:szCs w:val="14"/>
              </w:rPr>
              <w:t xml:space="preserve">    downlinkHARQ-FeedbackDisabled-r17       SetupRelease { DownlinkHARQ-FeedbackDisabled-r17 }              </w:t>
            </w:r>
            <w:r w:rsidRPr="00714BF9">
              <w:rPr>
                <w:color w:val="993366"/>
                <w:sz w:val="14"/>
                <w:szCs w:val="14"/>
              </w:rPr>
              <w:t>OPTIONAL</w:t>
            </w:r>
            <w:r w:rsidRPr="00714BF9">
              <w:rPr>
                <w:sz w:val="14"/>
                <w:szCs w:val="14"/>
              </w:rPr>
              <w:t xml:space="preserve">,   </w:t>
            </w:r>
            <w:r w:rsidRPr="00714BF9">
              <w:rPr>
                <w:color w:val="808080"/>
                <w:sz w:val="14"/>
                <w:szCs w:val="14"/>
              </w:rPr>
              <w:t>-- Need M</w:t>
            </w:r>
          </w:p>
          <w:p w14:paraId="27D47AA9" w14:textId="77777777" w:rsidR="004C0C44" w:rsidRPr="00714BF9" w:rsidRDefault="004C0C44" w:rsidP="00704657">
            <w:pPr>
              <w:pStyle w:val="PL"/>
              <w:rPr>
                <w:color w:val="808080"/>
                <w:sz w:val="14"/>
                <w:szCs w:val="14"/>
              </w:rPr>
            </w:pPr>
            <w:r w:rsidRPr="00714BF9">
              <w:rPr>
                <w:sz w:val="14"/>
                <w:szCs w:val="14"/>
              </w:rPr>
              <w:t xml:space="preserve">    nrofHARQ-ProcessesForPDSCH-v1700        </w:t>
            </w:r>
            <w:r w:rsidRPr="00714BF9">
              <w:rPr>
                <w:color w:val="993366"/>
                <w:sz w:val="14"/>
                <w:szCs w:val="14"/>
              </w:rPr>
              <w:t>ENUMERATED</w:t>
            </w:r>
            <w:r w:rsidRPr="00714BF9">
              <w:rPr>
                <w:sz w:val="14"/>
                <w:szCs w:val="14"/>
              </w:rPr>
              <w:t xml:space="preserve"> {n32}                                               </w:t>
            </w:r>
            <w:r w:rsidRPr="00714BF9">
              <w:rPr>
                <w:color w:val="993366"/>
                <w:sz w:val="14"/>
                <w:szCs w:val="14"/>
              </w:rPr>
              <w:t>OPTIONAL</w:t>
            </w:r>
            <w:r w:rsidRPr="00714BF9">
              <w:rPr>
                <w:sz w:val="14"/>
                <w:szCs w:val="14"/>
              </w:rPr>
              <w:t xml:space="preserve">    </w:t>
            </w:r>
            <w:r w:rsidRPr="00714BF9">
              <w:rPr>
                <w:color w:val="808080"/>
                <w:sz w:val="14"/>
                <w:szCs w:val="14"/>
              </w:rPr>
              <w:t>-- Need R</w:t>
            </w:r>
          </w:p>
          <w:p w14:paraId="1D7269CE" w14:textId="77777777" w:rsidR="004C0C44" w:rsidRPr="00714BF9" w:rsidRDefault="004C0C44" w:rsidP="00704657">
            <w:pPr>
              <w:pStyle w:val="PL"/>
              <w:rPr>
                <w:sz w:val="14"/>
                <w:szCs w:val="14"/>
              </w:rPr>
            </w:pPr>
            <w:r w:rsidRPr="00714BF9">
              <w:rPr>
                <w:sz w:val="14"/>
                <w:szCs w:val="14"/>
              </w:rPr>
              <w:t xml:space="preserve">    ]]</w:t>
            </w:r>
          </w:p>
          <w:p w14:paraId="4951D775" w14:textId="77777777" w:rsidR="004C0C44" w:rsidRPr="00714BF9" w:rsidRDefault="004C0C44" w:rsidP="00704657">
            <w:pPr>
              <w:jc w:val="both"/>
              <w:rPr>
                <w:rFonts w:ascii="Arial" w:hAnsi="Arial"/>
                <w:sz w:val="14"/>
                <w:szCs w:val="14"/>
              </w:rPr>
            </w:pPr>
          </w:p>
          <w:p w14:paraId="63C37240" w14:textId="77777777" w:rsidR="004C0C44" w:rsidRPr="00714BF9" w:rsidRDefault="004C0C44" w:rsidP="00704657">
            <w:pPr>
              <w:jc w:val="both"/>
              <w:rPr>
                <w:rFonts w:ascii="Arial" w:hAnsi="Arial"/>
                <w:b/>
                <w:bCs/>
                <w:sz w:val="14"/>
                <w:szCs w:val="14"/>
              </w:rPr>
            </w:pPr>
            <w:r w:rsidRPr="00714BF9">
              <w:rPr>
                <w:rFonts w:ascii="Arial" w:hAnsi="Arial"/>
                <w:b/>
                <w:bCs/>
                <w:sz w:val="14"/>
                <w:szCs w:val="14"/>
              </w:rPr>
              <w:t>PDSCH-CodeBlockGroupTransmission field descriptions</w:t>
            </w:r>
          </w:p>
          <w:p w14:paraId="5C02FDC8" w14:textId="77777777" w:rsidR="004C0C44" w:rsidRPr="00714BF9" w:rsidRDefault="004C0C44" w:rsidP="00704657">
            <w:pPr>
              <w:jc w:val="both"/>
              <w:rPr>
                <w:rFonts w:ascii="Arial" w:hAnsi="Arial"/>
                <w:b/>
                <w:bCs/>
                <w:sz w:val="14"/>
                <w:szCs w:val="14"/>
              </w:rPr>
            </w:pPr>
            <w:r w:rsidRPr="00714BF9">
              <w:rPr>
                <w:rFonts w:ascii="Arial" w:hAnsi="Arial"/>
                <w:b/>
                <w:bCs/>
                <w:sz w:val="14"/>
                <w:szCs w:val="14"/>
              </w:rPr>
              <w:t>downlinkHARQ-FeedbackDisabled</w:t>
            </w:r>
          </w:p>
          <w:p w14:paraId="0A551050" w14:textId="0D3809ED" w:rsidR="004C0C44" w:rsidRPr="008341AC" w:rsidRDefault="004C0C44" w:rsidP="00704657">
            <w:pPr>
              <w:jc w:val="both"/>
              <w:rPr>
                <w:rFonts w:ascii="Arial" w:hAnsi="Arial"/>
                <w:sz w:val="14"/>
                <w:szCs w:val="14"/>
              </w:rPr>
            </w:pPr>
            <w:r w:rsidRPr="008341AC">
              <w:rPr>
                <w:rFonts w:ascii="Arial" w:hAnsi="Arial"/>
                <w:sz w:val="12"/>
                <w:szCs w:val="12"/>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4C0C44" w14:paraId="12EAC5F7" w14:textId="77777777" w:rsidTr="008341AC">
        <w:tc>
          <w:tcPr>
            <w:tcW w:w="1980" w:type="dxa"/>
          </w:tcPr>
          <w:p w14:paraId="7814F151" w14:textId="77777777" w:rsidR="004C0C44" w:rsidRPr="00097ADE" w:rsidRDefault="004C0C44" w:rsidP="00704657">
            <w:pPr>
              <w:jc w:val="both"/>
              <w:rPr>
                <w:b/>
                <w:bCs/>
                <w:sz w:val="14"/>
                <w:szCs w:val="14"/>
              </w:rPr>
            </w:pPr>
            <w:r w:rsidRPr="00097ADE">
              <w:rPr>
                <w:b/>
                <w:bCs/>
                <w:sz w:val="14"/>
                <w:szCs w:val="14"/>
              </w:rPr>
              <w:lastRenderedPageBreak/>
              <w:t>Number of bits required</w:t>
            </w:r>
          </w:p>
        </w:tc>
        <w:tc>
          <w:tcPr>
            <w:tcW w:w="3969" w:type="dxa"/>
          </w:tcPr>
          <w:p w14:paraId="567AAF21" w14:textId="77777777" w:rsidR="004C0C44" w:rsidRDefault="004C0C44" w:rsidP="00704657">
            <w:pPr>
              <w:jc w:val="both"/>
              <w:rPr>
                <w:sz w:val="14"/>
                <w:szCs w:val="14"/>
              </w:rPr>
            </w:pPr>
            <w:r>
              <w:rPr>
                <w:sz w:val="14"/>
                <w:szCs w:val="14"/>
              </w:rPr>
              <w:t>1-bit in DCI</w:t>
            </w:r>
          </w:p>
          <w:p w14:paraId="3B9D64D2" w14:textId="77777777" w:rsidR="004C0C44" w:rsidRPr="00097ADE" w:rsidRDefault="004C0C44" w:rsidP="00704657">
            <w:pPr>
              <w:jc w:val="both"/>
              <w:rPr>
                <w:sz w:val="14"/>
                <w:szCs w:val="14"/>
              </w:rPr>
            </w:pPr>
            <w:r>
              <w:rPr>
                <w:sz w:val="14"/>
                <w:szCs w:val="14"/>
              </w:rPr>
              <w:t xml:space="preserve">Note: Since the </w:t>
            </w:r>
            <w:r w:rsidRPr="00097ADE">
              <w:rPr>
                <w:sz w:val="14"/>
                <w:szCs w:val="14"/>
              </w:rPr>
              <w:t>“HARQ process number”</w:t>
            </w:r>
            <w:r>
              <w:rPr>
                <w:sz w:val="14"/>
                <w:szCs w:val="14"/>
              </w:rPr>
              <w:t xml:space="preserve"> is already indicated via DCI, only 1-bit is required to indicate </w:t>
            </w:r>
            <w:r w:rsidRPr="007E0218">
              <w:rPr>
                <w:sz w:val="14"/>
                <w:szCs w:val="14"/>
              </w:rPr>
              <w:t>whether such “HARQ process number” will use HARQ feedback enabled/disabled</w:t>
            </w:r>
            <w:r>
              <w:rPr>
                <w:sz w:val="14"/>
                <w:szCs w:val="14"/>
              </w:rPr>
              <w:t>.</w:t>
            </w:r>
          </w:p>
        </w:tc>
        <w:tc>
          <w:tcPr>
            <w:tcW w:w="3680" w:type="dxa"/>
          </w:tcPr>
          <w:p w14:paraId="2031B258" w14:textId="77777777" w:rsidR="004C0C44" w:rsidRDefault="004C0C44" w:rsidP="00704657">
            <w:pPr>
              <w:jc w:val="both"/>
              <w:rPr>
                <w:sz w:val="14"/>
                <w:szCs w:val="14"/>
              </w:rPr>
            </w:pPr>
            <w:r>
              <w:rPr>
                <w:sz w:val="14"/>
                <w:szCs w:val="14"/>
              </w:rPr>
              <w:t>1-bits in RRC</w:t>
            </w:r>
          </w:p>
          <w:p w14:paraId="2D939C95" w14:textId="78F684F8" w:rsidR="004C0C44" w:rsidRPr="00097ADE" w:rsidRDefault="004C0C44" w:rsidP="00704657">
            <w:pPr>
              <w:jc w:val="both"/>
              <w:rPr>
                <w:sz w:val="14"/>
                <w:szCs w:val="14"/>
              </w:rPr>
            </w:pPr>
            <w:r>
              <w:rPr>
                <w:sz w:val="14"/>
                <w:szCs w:val="14"/>
              </w:rPr>
              <w:t>Note: I</w:t>
            </w:r>
            <w:r w:rsidR="004947AF">
              <w:rPr>
                <w:sz w:val="14"/>
                <w:szCs w:val="14"/>
              </w:rPr>
              <w:t xml:space="preserve">t will be configured in </w:t>
            </w:r>
            <w:r>
              <w:rPr>
                <w:sz w:val="14"/>
                <w:szCs w:val="14"/>
              </w:rPr>
              <w:t>a semi-static manner which HARQ process</w:t>
            </w:r>
            <w:r w:rsidR="004947AF">
              <w:rPr>
                <w:sz w:val="14"/>
                <w:szCs w:val="14"/>
              </w:rPr>
              <w:t>(es)</w:t>
            </w:r>
            <w:r>
              <w:rPr>
                <w:sz w:val="14"/>
                <w:szCs w:val="14"/>
              </w:rPr>
              <w:t xml:space="preserve"> will have their HARQ feedback enabled and disabled, and this will not change until a re-configuration will be performed. Given that there are up to 2 HARQ processes in NB-IoT, then 1-bit is required for a semi-static solution.</w:t>
            </w:r>
          </w:p>
        </w:tc>
      </w:tr>
      <w:tr w:rsidR="004C0C44" w14:paraId="622C939D" w14:textId="77777777" w:rsidTr="008341AC">
        <w:tc>
          <w:tcPr>
            <w:tcW w:w="1980" w:type="dxa"/>
          </w:tcPr>
          <w:p w14:paraId="53B9534B" w14:textId="77777777" w:rsidR="004C0C44" w:rsidRPr="00097ADE" w:rsidRDefault="004C0C44" w:rsidP="00704657">
            <w:pPr>
              <w:jc w:val="both"/>
              <w:rPr>
                <w:b/>
                <w:bCs/>
                <w:sz w:val="14"/>
                <w:szCs w:val="14"/>
              </w:rPr>
            </w:pPr>
            <w:r w:rsidRPr="00097ADE">
              <w:rPr>
                <w:b/>
                <w:bCs/>
                <w:sz w:val="14"/>
                <w:szCs w:val="14"/>
              </w:rPr>
              <w:t>Pros</w:t>
            </w:r>
          </w:p>
        </w:tc>
        <w:tc>
          <w:tcPr>
            <w:tcW w:w="3969" w:type="dxa"/>
          </w:tcPr>
          <w:p w14:paraId="07BD57CA" w14:textId="77777777" w:rsidR="004C0C44" w:rsidRDefault="004C0C44" w:rsidP="00B213B9">
            <w:pPr>
              <w:pStyle w:val="ListParagraph"/>
              <w:numPr>
                <w:ilvl w:val="0"/>
                <w:numId w:val="22"/>
              </w:numPr>
              <w:jc w:val="both"/>
              <w:rPr>
                <w:sz w:val="14"/>
                <w:szCs w:val="14"/>
                <w:lang w:val="de-DE"/>
              </w:rPr>
            </w:pPr>
            <w:r w:rsidRPr="00526006">
              <w:rPr>
                <w:sz w:val="14"/>
                <w:szCs w:val="14"/>
                <w:lang w:val="de-DE"/>
              </w:rPr>
              <w:t>Only 1-bit is required</w:t>
            </w:r>
            <w:r>
              <w:rPr>
                <w:sz w:val="14"/>
                <w:szCs w:val="14"/>
                <w:lang w:val="de-DE"/>
              </w:rPr>
              <w:t>,</w:t>
            </w:r>
            <w:r w:rsidRPr="00526006">
              <w:rPr>
                <w:sz w:val="14"/>
                <w:szCs w:val="14"/>
                <w:lang w:val="de-DE"/>
              </w:rPr>
              <w:t xml:space="preserve"> since this solution takes advantage that the “HARQ process number” is already indicated via DCI.</w:t>
            </w:r>
          </w:p>
          <w:p w14:paraId="05DD974F" w14:textId="77777777" w:rsidR="004C0C44" w:rsidRPr="00526006" w:rsidRDefault="004C0C44" w:rsidP="00704657">
            <w:pPr>
              <w:pStyle w:val="ListParagraph"/>
              <w:jc w:val="both"/>
              <w:rPr>
                <w:sz w:val="14"/>
                <w:szCs w:val="14"/>
                <w:lang w:val="de-DE"/>
              </w:rPr>
            </w:pPr>
          </w:p>
          <w:p w14:paraId="49B126AA" w14:textId="77777777" w:rsidR="004C0C44" w:rsidRDefault="004C0C44" w:rsidP="004947AF">
            <w:pPr>
              <w:pStyle w:val="ListParagraph"/>
              <w:numPr>
                <w:ilvl w:val="0"/>
                <w:numId w:val="22"/>
              </w:numPr>
              <w:jc w:val="both"/>
              <w:rPr>
                <w:sz w:val="14"/>
                <w:szCs w:val="14"/>
                <w:lang w:val="de-DE"/>
              </w:rPr>
            </w:pPr>
            <w:r w:rsidRPr="00526006">
              <w:rPr>
                <w:sz w:val="14"/>
                <w:szCs w:val="14"/>
                <w:lang w:val="de-DE"/>
              </w:rPr>
              <w:t>Dynamic signalling</w:t>
            </w:r>
            <w:r>
              <w:rPr>
                <w:sz w:val="14"/>
                <w:szCs w:val="14"/>
                <w:lang w:val="de-DE"/>
              </w:rPr>
              <w:t xml:space="preserve"> will allow a fast switching even within the same scheduling cycle. This </w:t>
            </w:r>
            <w:r w:rsidRPr="00526006">
              <w:rPr>
                <w:sz w:val="14"/>
                <w:szCs w:val="14"/>
                <w:lang w:val="de-DE"/>
              </w:rPr>
              <w:t>will allow adapting faster to changes/variations in the IoT-NTN scenarios</w:t>
            </w:r>
            <w:r>
              <w:rPr>
                <w:sz w:val="14"/>
                <w:szCs w:val="14"/>
                <w:lang w:val="de-DE"/>
              </w:rPr>
              <w:t>.</w:t>
            </w:r>
          </w:p>
          <w:p w14:paraId="2C25221F" w14:textId="77777777" w:rsidR="004947AF" w:rsidRPr="004947AF" w:rsidRDefault="004947AF" w:rsidP="004947AF">
            <w:pPr>
              <w:pStyle w:val="ListParagraph"/>
              <w:rPr>
                <w:sz w:val="14"/>
                <w:szCs w:val="14"/>
                <w:lang w:val="de-DE"/>
              </w:rPr>
            </w:pPr>
          </w:p>
          <w:p w14:paraId="550F6839" w14:textId="5703D938" w:rsidR="004947AF" w:rsidRPr="004947AF" w:rsidRDefault="004947AF" w:rsidP="004947AF">
            <w:pPr>
              <w:pStyle w:val="ListParagraph"/>
              <w:jc w:val="both"/>
              <w:rPr>
                <w:sz w:val="14"/>
                <w:szCs w:val="14"/>
                <w:lang w:val="de-DE"/>
              </w:rPr>
            </w:pPr>
          </w:p>
        </w:tc>
        <w:tc>
          <w:tcPr>
            <w:tcW w:w="3680" w:type="dxa"/>
          </w:tcPr>
          <w:p w14:paraId="4B1E3C6E" w14:textId="77777777" w:rsidR="004C0C44" w:rsidRPr="00596A40" w:rsidRDefault="004C0C44" w:rsidP="00B213B9">
            <w:pPr>
              <w:pStyle w:val="ListParagraph"/>
              <w:numPr>
                <w:ilvl w:val="0"/>
                <w:numId w:val="22"/>
              </w:numPr>
              <w:jc w:val="both"/>
              <w:rPr>
                <w:sz w:val="14"/>
                <w:szCs w:val="14"/>
                <w:lang w:val="de-DE"/>
              </w:rPr>
            </w:pPr>
            <w:r>
              <w:rPr>
                <w:sz w:val="14"/>
                <w:szCs w:val="14"/>
                <w:lang w:val="de-DE"/>
              </w:rPr>
              <w:t>The solution will be to some extent as the one in NR-NTN, but in this case using 1-bit and renaming</w:t>
            </w:r>
            <w:r w:rsidRPr="00322DC3">
              <w:rPr>
                <w:sz w:val="14"/>
                <w:szCs w:val="14"/>
                <w:lang w:val="de-DE"/>
              </w:rPr>
              <w:t xml:space="preserve"> “HARQ process ID” </w:t>
            </w:r>
            <w:r>
              <w:rPr>
                <w:sz w:val="14"/>
                <w:szCs w:val="14"/>
                <w:lang w:val="de-DE"/>
              </w:rPr>
              <w:t>by</w:t>
            </w:r>
            <w:r w:rsidRPr="00322DC3">
              <w:rPr>
                <w:sz w:val="14"/>
                <w:szCs w:val="14"/>
                <w:lang w:val="de-DE"/>
              </w:rPr>
              <w:t xml:space="preserve"> “HARQ process number”</w:t>
            </w:r>
            <w:r>
              <w:rPr>
                <w:sz w:val="14"/>
                <w:szCs w:val="14"/>
                <w:lang w:val="de-DE"/>
              </w:rPr>
              <w:t xml:space="preserve"> will be needed.</w:t>
            </w:r>
          </w:p>
          <w:p w14:paraId="62012D1D" w14:textId="77777777" w:rsidR="004C0C44" w:rsidRPr="00097ADE" w:rsidRDefault="004C0C44" w:rsidP="00704657">
            <w:pPr>
              <w:jc w:val="both"/>
              <w:rPr>
                <w:sz w:val="14"/>
                <w:szCs w:val="14"/>
              </w:rPr>
            </w:pPr>
          </w:p>
        </w:tc>
      </w:tr>
      <w:tr w:rsidR="004C0C44" w14:paraId="775689D2" w14:textId="77777777" w:rsidTr="008341AC">
        <w:tc>
          <w:tcPr>
            <w:tcW w:w="1980" w:type="dxa"/>
          </w:tcPr>
          <w:p w14:paraId="6327E552" w14:textId="1D49447D" w:rsidR="004C0C44" w:rsidRPr="00097ADE" w:rsidRDefault="008341AC" w:rsidP="00704657">
            <w:pPr>
              <w:jc w:val="both"/>
              <w:rPr>
                <w:b/>
                <w:bCs/>
                <w:sz w:val="14"/>
                <w:szCs w:val="14"/>
              </w:rPr>
            </w:pPr>
            <w:r w:rsidRPr="00097ADE">
              <w:rPr>
                <w:b/>
                <w:bCs/>
                <w:sz w:val="14"/>
                <w:szCs w:val="14"/>
              </w:rPr>
              <w:t>C</w:t>
            </w:r>
            <w:r w:rsidR="004C0C44" w:rsidRPr="00097ADE">
              <w:rPr>
                <w:b/>
                <w:bCs/>
                <w:sz w:val="14"/>
                <w:szCs w:val="14"/>
              </w:rPr>
              <w:t>ons</w:t>
            </w:r>
          </w:p>
        </w:tc>
        <w:tc>
          <w:tcPr>
            <w:tcW w:w="3969" w:type="dxa"/>
          </w:tcPr>
          <w:p w14:paraId="0C955B3A" w14:textId="5D9651C7" w:rsidR="004C0C44" w:rsidRDefault="004C0C44" w:rsidP="00B213B9">
            <w:pPr>
              <w:pStyle w:val="ListParagraph"/>
              <w:numPr>
                <w:ilvl w:val="0"/>
                <w:numId w:val="23"/>
              </w:numPr>
              <w:jc w:val="both"/>
              <w:rPr>
                <w:sz w:val="14"/>
                <w:szCs w:val="14"/>
                <w:lang w:val="de-DE"/>
              </w:rPr>
            </w:pPr>
            <w:r>
              <w:rPr>
                <w:sz w:val="14"/>
                <w:szCs w:val="14"/>
                <w:lang w:val="de-DE"/>
              </w:rPr>
              <w:t>1 new bit may need to be added in DCI in case no legacy</w:t>
            </w:r>
            <w:r w:rsidR="004947AF">
              <w:rPr>
                <w:sz w:val="14"/>
                <w:szCs w:val="14"/>
                <w:lang w:val="de-DE"/>
              </w:rPr>
              <w:t xml:space="preserve"> bit</w:t>
            </w:r>
            <w:r>
              <w:rPr>
                <w:sz w:val="14"/>
                <w:szCs w:val="14"/>
                <w:lang w:val="de-DE"/>
              </w:rPr>
              <w:t xml:space="preserve"> can be re-purposed.</w:t>
            </w:r>
          </w:p>
          <w:p w14:paraId="58D96AC7" w14:textId="77777777" w:rsidR="004C0C44" w:rsidRPr="00097ADE" w:rsidRDefault="004C0C44" w:rsidP="00704657">
            <w:pPr>
              <w:jc w:val="both"/>
              <w:rPr>
                <w:sz w:val="14"/>
                <w:szCs w:val="14"/>
              </w:rPr>
            </w:pPr>
          </w:p>
        </w:tc>
        <w:tc>
          <w:tcPr>
            <w:tcW w:w="3680" w:type="dxa"/>
          </w:tcPr>
          <w:p w14:paraId="27E242AA" w14:textId="77777777" w:rsidR="004C0C44" w:rsidRDefault="004C0C44" w:rsidP="00B213B9">
            <w:pPr>
              <w:pStyle w:val="ListParagraph"/>
              <w:numPr>
                <w:ilvl w:val="0"/>
                <w:numId w:val="23"/>
              </w:numPr>
              <w:jc w:val="both"/>
              <w:rPr>
                <w:sz w:val="14"/>
                <w:szCs w:val="14"/>
                <w:lang w:val="de-DE"/>
              </w:rPr>
            </w:pPr>
            <w:r>
              <w:rPr>
                <w:sz w:val="14"/>
                <w:szCs w:val="14"/>
                <w:lang w:val="de-DE"/>
              </w:rPr>
              <w:t>W</w:t>
            </w:r>
            <w:r w:rsidRPr="00526006">
              <w:rPr>
                <w:sz w:val="14"/>
                <w:szCs w:val="14"/>
                <w:lang w:val="de-DE"/>
              </w:rPr>
              <w:t xml:space="preserve">ith RRC signalling, it will be required </w:t>
            </w:r>
            <w:r>
              <w:rPr>
                <w:sz w:val="14"/>
                <w:szCs w:val="14"/>
                <w:lang w:val="de-DE"/>
              </w:rPr>
              <w:t>transmitting first</w:t>
            </w:r>
            <w:r w:rsidRPr="00526006">
              <w:rPr>
                <w:sz w:val="14"/>
                <w:szCs w:val="14"/>
                <w:lang w:val="de-DE"/>
              </w:rPr>
              <w:t xml:space="preserve"> a re-configuration</w:t>
            </w:r>
            <w:r>
              <w:rPr>
                <w:sz w:val="14"/>
                <w:szCs w:val="14"/>
                <w:lang w:val="de-DE"/>
              </w:rPr>
              <w:t xml:space="preserve"> message</w:t>
            </w:r>
            <w:r w:rsidRPr="00526006">
              <w:rPr>
                <w:sz w:val="14"/>
                <w:szCs w:val="14"/>
                <w:lang w:val="de-DE"/>
              </w:rPr>
              <w:t xml:space="preserve"> to enabling/disabling HARQ feedback before </w:t>
            </w:r>
            <w:r>
              <w:rPr>
                <w:sz w:val="14"/>
                <w:szCs w:val="14"/>
                <w:lang w:val="de-DE"/>
              </w:rPr>
              <w:t>we will be</w:t>
            </w:r>
            <w:r w:rsidRPr="00526006">
              <w:rPr>
                <w:sz w:val="14"/>
                <w:szCs w:val="14"/>
                <w:lang w:val="de-DE"/>
              </w:rPr>
              <w:t xml:space="preserve"> able to act on </w:t>
            </w:r>
            <w:r>
              <w:rPr>
                <w:sz w:val="14"/>
                <w:szCs w:val="14"/>
                <w:lang w:val="de-DE"/>
              </w:rPr>
              <w:t>a given</w:t>
            </w:r>
            <w:r w:rsidRPr="00526006">
              <w:rPr>
                <w:sz w:val="14"/>
                <w:szCs w:val="14"/>
                <w:lang w:val="de-DE"/>
              </w:rPr>
              <w:t xml:space="preserve"> scenario</w:t>
            </w:r>
            <w:r>
              <w:rPr>
                <w:sz w:val="14"/>
                <w:szCs w:val="14"/>
                <w:lang w:val="de-DE"/>
              </w:rPr>
              <w:t>.</w:t>
            </w:r>
          </w:p>
          <w:p w14:paraId="2E243C97" w14:textId="77777777" w:rsidR="004C0C44" w:rsidRDefault="004C0C44" w:rsidP="00704657">
            <w:pPr>
              <w:pStyle w:val="ListParagraph"/>
              <w:jc w:val="both"/>
              <w:rPr>
                <w:sz w:val="14"/>
                <w:szCs w:val="14"/>
                <w:lang w:val="de-DE"/>
              </w:rPr>
            </w:pPr>
          </w:p>
          <w:p w14:paraId="3F35359C" w14:textId="77777777" w:rsidR="004C0C44" w:rsidRPr="00105F60" w:rsidRDefault="004C0C44" w:rsidP="00B213B9">
            <w:pPr>
              <w:pStyle w:val="ListParagraph"/>
              <w:numPr>
                <w:ilvl w:val="0"/>
                <w:numId w:val="23"/>
              </w:numPr>
              <w:jc w:val="both"/>
              <w:rPr>
                <w:sz w:val="14"/>
                <w:szCs w:val="14"/>
              </w:rPr>
            </w:pPr>
            <w:r>
              <w:rPr>
                <w:sz w:val="14"/>
                <w:szCs w:val="14"/>
                <w:lang w:val="de-DE"/>
              </w:rPr>
              <w:t>In RAN2 it was brought-up as a concern that f</w:t>
            </w:r>
            <w:r w:rsidRPr="00662AC5">
              <w:rPr>
                <w:sz w:val="14"/>
                <w:szCs w:val="14"/>
                <w:lang w:val="de-DE"/>
              </w:rPr>
              <w:t>or the IoT CP solution, RRC connection reconfiguration is not supported</w:t>
            </w:r>
            <w:r>
              <w:rPr>
                <w:sz w:val="14"/>
                <w:szCs w:val="14"/>
                <w:lang w:val="de-DE"/>
              </w:rPr>
              <w:t>.</w:t>
            </w:r>
          </w:p>
        </w:tc>
      </w:tr>
    </w:tbl>
    <w:p w14:paraId="5E313EEB" w14:textId="75DEA7A4" w:rsidR="004C0C44" w:rsidRDefault="004C0C44" w:rsidP="004C0C44">
      <w:pPr>
        <w:jc w:val="both"/>
      </w:pPr>
      <w:r>
        <w:t xml:space="preserve"> </w:t>
      </w:r>
    </w:p>
    <w:p w14:paraId="2247B3C3" w14:textId="77777777" w:rsidR="004C0C44" w:rsidRDefault="004C0C44" w:rsidP="004C0C44">
      <w:pPr>
        <w:pStyle w:val="Observation"/>
        <w:ind w:left="1701" w:hanging="1701"/>
      </w:pPr>
      <w:bookmarkStart w:id="5" w:name="_Toc115380678"/>
      <w:r>
        <w:t>To indicate whether HARQ feedback is enabled/disabled for “NB-IoT over NTN”, the following advantages have been identified if dynamic signalling via DCI is used:</w:t>
      </w:r>
      <w:bookmarkEnd w:id="5"/>
    </w:p>
    <w:p w14:paraId="33C7F304" w14:textId="77777777" w:rsidR="004C0C44" w:rsidRDefault="004C0C44" w:rsidP="00B213B9">
      <w:pPr>
        <w:pStyle w:val="Observation"/>
        <w:numPr>
          <w:ilvl w:val="0"/>
          <w:numId w:val="19"/>
        </w:numPr>
      </w:pPr>
      <w:bookmarkStart w:id="6" w:name="_Toc115380679"/>
      <w:r>
        <w:t>In legacy, the “</w:t>
      </w:r>
      <w:r w:rsidRPr="00B7079B">
        <w:rPr>
          <w:i/>
          <w:iCs/>
        </w:rPr>
        <w:t>HARQ process number</w:t>
      </w:r>
      <w:r>
        <w:t>” is indicated via DCI Format N1, thus as complementary information it can be indicated whether such “</w:t>
      </w:r>
      <w:r w:rsidRPr="00B7079B">
        <w:rPr>
          <w:i/>
          <w:iCs/>
        </w:rPr>
        <w:t>HARQ process number</w:t>
      </w:r>
      <w:r>
        <w:t>” will use HARQ feedback enabled/disabled.</w:t>
      </w:r>
      <w:bookmarkEnd w:id="6"/>
    </w:p>
    <w:p w14:paraId="18C2BC9E" w14:textId="2F9BC6FF" w:rsidR="004C0C44" w:rsidRDefault="004C0C44" w:rsidP="00B213B9">
      <w:pPr>
        <w:pStyle w:val="Observation"/>
        <w:numPr>
          <w:ilvl w:val="0"/>
          <w:numId w:val="19"/>
        </w:numPr>
      </w:pPr>
      <w:bookmarkStart w:id="7" w:name="_Toc115380680"/>
      <w:r>
        <w:t xml:space="preserve">Dynamic signalling will allow </w:t>
      </w:r>
      <w:r w:rsidRPr="004F694F">
        <w:t>adapt</w:t>
      </w:r>
      <w:r>
        <w:t>ing</w:t>
      </w:r>
      <w:r w:rsidRPr="004F694F">
        <w:t xml:space="preserve"> faster to changes</w:t>
      </w:r>
      <w:r>
        <w:t>/variations</w:t>
      </w:r>
      <w:r w:rsidRPr="004F694F">
        <w:t xml:space="preserve"> in the IoT-NTN scenarios. Otherwise</w:t>
      </w:r>
      <w:r>
        <w:t>, RRC signalling</w:t>
      </w:r>
      <w:r w:rsidR="001940ED">
        <w:t xml:space="preserve"> requires </w:t>
      </w:r>
      <w:r>
        <w:t xml:space="preserve">performing first </w:t>
      </w:r>
      <w:r w:rsidRPr="004F694F">
        <w:t>a re-configuration to enabling/disabling HARQ feedback</w:t>
      </w:r>
      <w:r>
        <w:t xml:space="preserve"> before being able to act on the </w:t>
      </w:r>
      <w:r w:rsidR="001940ED">
        <w:t xml:space="preserve">needs of a given </w:t>
      </w:r>
      <w:r>
        <w:t>scenario.</w:t>
      </w:r>
      <w:bookmarkEnd w:id="7"/>
    </w:p>
    <w:p w14:paraId="01CABCEA" w14:textId="77777777" w:rsidR="004C0C44" w:rsidRPr="00BE6093" w:rsidRDefault="004C0C44" w:rsidP="004C0C44">
      <w:pPr>
        <w:pStyle w:val="Proposal"/>
      </w:pPr>
      <w:bookmarkStart w:id="8" w:name="_Toc115380707"/>
      <w:r>
        <w:t>For “NB-IoT over NTN” t</w:t>
      </w:r>
      <w:r w:rsidRPr="00727547">
        <w:t>o configure/indicate enabling/disabling on HARQ feedback for downlink transmission</w:t>
      </w:r>
      <w:r>
        <w:t>, RAN1 down-selects between “Option 1 (i.e., semi-static signalling via RRC)” and “Option 3 (i.e., dynamic signalling via DCI)”, FFS details.</w:t>
      </w:r>
      <w:bookmarkEnd w:id="8"/>
    </w:p>
    <w:p w14:paraId="2D771ECC" w14:textId="684155C6" w:rsidR="00866186" w:rsidRDefault="00EA7ECE" w:rsidP="00866186">
      <w:pPr>
        <w:pStyle w:val="Heading1"/>
      </w:pPr>
      <w:r>
        <w:t>3</w:t>
      </w:r>
      <w:r w:rsidR="00866186">
        <w:tab/>
        <w:t>Follow-up: “</w:t>
      </w:r>
      <w:r w:rsidR="00DA0F44" w:rsidRPr="00DA0F44">
        <w:rPr>
          <w:rFonts w:ascii="Times New Roman" w:hAnsi="Times New Roman"/>
          <w:i/>
          <w:iCs/>
        </w:rPr>
        <w:t>how to support enabling and disabling HARQ feedback for downlink transmissions</w:t>
      </w:r>
      <w:r w:rsidR="00866186">
        <w:t>”</w:t>
      </w:r>
    </w:p>
    <w:p w14:paraId="137D13B8" w14:textId="38F7D2CB" w:rsidR="00EA7ECE" w:rsidRDefault="00EA7ECE" w:rsidP="00EA7ECE">
      <w:pPr>
        <w:jc w:val="both"/>
      </w:pPr>
      <w:r>
        <w:t>During RAN1# 109-e, “</w:t>
      </w:r>
      <w:r w:rsidRPr="007649BA">
        <w:rPr>
          <w:i/>
          <w:iCs/>
        </w:rPr>
        <w:t>how to support enabling and disabling HARQ feedback for downlink transmissions</w:t>
      </w:r>
      <w:r>
        <w:t xml:space="preserve">” was preliminary discussed through </w:t>
      </w:r>
      <w:r w:rsidR="0050713C">
        <w:t>“</w:t>
      </w:r>
      <w:r w:rsidRPr="007649BA">
        <w:t>Proposal 2-5f</w:t>
      </w:r>
      <w:r w:rsidR="0050713C">
        <w:t>”</w:t>
      </w:r>
      <w:r>
        <w:t xml:space="preserve"> of the Feature Lead Summary (FLS) [</w:t>
      </w:r>
      <w:r w:rsidRPr="0032672E">
        <w:t>4</w:t>
      </w:r>
      <w:r>
        <w:t>], and it was further discussed as “</w:t>
      </w:r>
      <w:r w:rsidRPr="007D4C97">
        <w:rPr>
          <w:i/>
          <w:iCs/>
        </w:rPr>
        <w:t>Issue-4: (N)PDSCH/(N)PDCCH scheduling restriction</w:t>
      </w:r>
      <w:r>
        <w:t>” in the FLS used for RAN1# 110 [</w:t>
      </w:r>
      <w:r w:rsidRPr="0032672E">
        <w:t>5</w:t>
      </w:r>
      <w:r>
        <w:t xml:space="preserve">]. In sections 3.1 and 3.2 for NB-IoT and LTE-MTC respectively, we provide our views on this topic. </w:t>
      </w:r>
    </w:p>
    <w:p w14:paraId="2DC74AC1" w14:textId="3EAD2FCA" w:rsidR="00F36862" w:rsidRDefault="00F36862" w:rsidP="00F36862">
      <w:pPr>
        <w:pStyle w:val="Heading2"/>
      </w:pPr>
      <w:r>
        <w:t>3.1</w:t>
      </w:r>
      <w:r>
        <w:tab/>
        <w:t>NB-IoT on “</w:t>
      </w:r>
      <w:r w:rsidRPr="00DA0F44">
        <w:rPr>
          <w:rFonts w:ascii="Times New Roman" w:hAnsi="Times New Roman"/>
          <w:i/>
          <w:iCs/>
        </w:rPr>
        <w:t>how to support enabling and disabling HARQ feedback for downlink transmissions</w:t>
      </w:r>
      <w:r>
        <w:t>”</w:t>
      </w:r>
    </w:p>
    <w:p w14:paraId="53EF5D7D" w14:textId="27A11A8F" w:rsidR="00F36862" w:rsidRPr="00D730B8" w:rsidRDefault="00F36862" w:rsidP="00F36862">
      <w:pPr>
        <w:jc w:val="both"/>
      </w:pPr>
      <w:r w:rsidRPr="00D730B8">
        <w:t>The agreements reached in RAN1# 109e have considered two approaches, enabling/disabling of HARQ feedback for downlink transmissions.</w:t>
      </w:r>
      <w:r w:rsidR="00D730B8" w:rsidRPr="00D730B8">
        <w:t xml:space="preserve"> </w:t>
      </w:r>
      <w:r w:rsidRPr="00D730B8">
        <w:t>Below we provide our view on how to support disabling HARQ feedback for downlink transmissions.</w:t>
      </w:r>
    </w:p>
    <w:p w14:paraId="265519C9" w14:textId="47AAAC8F" w:rsidR="00F36862" w:rsidRPr="00D730B8" w:rsidRDefault="00D730B8" w:rsidP="00F36862">
      <w:pPr>
        <w:pStyle w:val="Observation"/>
        <w:ind w:left="1701" w:hanging="1701"/>
      </w:pPr>
      <w:bookmarkStart w:id="9" w:name="_Toc115380681"/>
      <w:r>
        <w:t>When HARQ feedback is disabled and</w:t>
      </w:r>
      <w:r w:rsidR="00F36862" w:rsidRPr="00D730B8">
        <w:t xml:space="preserve"> NPUSCH Format 2 </w:t>
      </w:r>
      <w:r>
        <w:t>is not</w:t>
      </w:r>
      <w:r w:rsidR="00F36862" w:rsidRPr="00D730B8">
        <w:t xml:space="preserve"> transmitted, one key design aspect is the point in time at which DL monitoring will be allowed to start towards receiving the subsequent NPDCCH scheduling data.</w:t>
      </w:r>
      <w:bookmarkEnd w:id="9"/>
    </w:p>
    <w:p w14:paraId="29CB0E4F" w14:textId="131496AD" w:rsidR="00F36862" w:rsidRPr="00D730B8" w:rsidRDefault="00F36862" w:rsidP="00F36862">
      <w:pPr>
        <w:pStyle w:val="Observation"/>
        <w:ind w:left="1701" w:hanging="1701"/>
      </w:pPr>
      <w:bookmarkStart w:id="10" w:name="_Toc115380682"/>
      <w:r w:rsidRPr="00D730B8">
        <w:t xml:space="preserve">In legacy, there is a delay between the “NPDCCH and the scheduled NPDSCH”, afterwards there is at least a 12 ms delay between the end of NPDSCH and the start </w:t>
      </w:r>
      <w:r w:rsidRPr="00D730B8">
        <w:lastRenderedPageBreak/>
        <w:t>of NPUSCH Format 2 which accounts for sufficient NPDSCH decoding time at the device.</w:t>
      </w:r>
      <w:bookmarkEnd w:id="10"/>
    </w:p>
    <w:p w14:paraId="6DF0C1D1" w14:textId="3FDE8931" w:rsidR="00F36862" w:rsidRPr="00D730B8" w:rsidRDefault="00D730B8" w:rsidP="00B213B9">
      <w:pPr>
        <w:pStyle w:val="Observation"/>
        <w:numPr>
          <w:ilvl w:val="0"/>
          <w:numId w:val="20"/>
        </w:numPr>
      </w:pPr>
      <w:bookmarkStart w:id="11" w:name="_Toc115380683"/>
      <w:r w:rsidRPr="00D730B8">
        <w:t>Thus,</w:t>
      </w:r>
      <w:r w:rsidR="00F36862" w:rsidRPr="00D730B8">
        <w:t xml:space="preserve"> when HARQ feedback is disabled the earliest the DL monitoring should start is precisely the subframe at which NPUSCH Format 2 would be otherwise transmitted.</w:t>
      </w:r>
      <w:bookmarkEnd w:id="11"/>
    </w:p>
    <w:p w14:paraId="1A164231" w14:textId="77777777" w:rsidR="00F36862" w:rsidRPr="00D730B8" w:rsidRDefault="00F36862" w:rsidP="00B213B9">
      <w:pPr>
        <w:pStyle w:val="Observation"/>
        <w:numPr>
          <w:ilvl w:val="0"/>
          <w:numId w:val="20"/>
        </w:numPr>
      </w:pPr>
      <w:bookmarkStart w:id="12" w:name="_Toc115380684"/>
      <w:r w:rsidRPr="00D730B8">
        <w:t>Legacy delays are an important part of what makes the IoT technologies having a low complexity and a low cost.</w:t>
      </w:r>
      <w:bookmarkEnd w:id="12"/>
    </w:p>
    <w:p w14:paraId="62F60F64" w14:textId="31F428E1" w:rsidR="00F36862" w:rsidRDefault="00F36862" w:rsidP="00F36862">
      <w:pPr>
        <w:jc w:val="both"/>
      </w:pPr>
      <w:r>
        <w:t>In RAN1# 110, the following agreement was reached</w:t>
      </w:r>
      <w:r w:rsidR="0032672E">
        <w:t xml:space="preserve"> [3]</w:t>
      </w:r>
      <w:r>
        <w:t>:</w:t>
      </w:r>
    </w:p>
    <w:tbl>
      <w:tblPr>
        <w:tblStyle w:val="TableGrid"/>
        <w:tblW w:w="0" w:type="auto"/>
        <w:tblLook w:val="04A0" w:firstRow="1" w:lastRow="0" w:firstColumn="1" w:lastColumn="0" w:noHBand="0" w:noVBand="1"/>
      </w:tblPr>
      <w:tblGrid>
        <w:gridCol w:w="9629"/>
      </w:tblGrid>
      <w:tr w:rsidR="00F36862" w14:paraId="06E42CDD" w14:textId="77777777" w:rsidTr="00704657">
        <w:tc>
          <w:tcPr>
            <w:tcW w:w="9629" w:type="dxa"/>
          </w:tcPr>
          <w:p w14:paraId="14B95502" w14:textId="77777777" w:rsidR="00F36862" w:rsidRPr="00632C88" w:rsidRDefault="00F36862" w:rsidP="00704657">
            <w:pPr>
              <w:rPr>
                <w:b/>
                <w:bCs/>
                <w:sz w:val="16"/>
                <w:szCs w:val="16"/>
                <w:lang w:val="en-US" w:eastAsia="x-none"/>
              </w:rPr>
            </w:pPr>
            <w:r w:rsidRPr="00632C88">
              <w:rPr>
                <w:b/>
                <w:bCs/>
                <w:sz w:val="16"/>
                <w:szCs w:val="16"/>
                <w:highlight w:val="green"/>
                <w:lang w:val="en-US" w:eastAsia="x-none"/>
              </w:rPr>
              <w:t>Agreement</w:t>
            </w:r>
          </w:p>
          <w:p w14:paraId="24FEF3DD" w14:textId="77777777" w:rsidR="00F36862" w:rsidRPr="00632C88" w:rsidRDefault="00F36862" w:rsidP="00704657">
            <w:pPr>
              <w:rPr>
                <w:sz w:val="16"/>
                <w:szCs w:val="16"/>
                <w:lang w:val="en-US" w:eastAsia="x-none"/>
              </w:rPr>
            </w:pPr>
            <w:r w:rsidRPr="00632C88">
              <w:rPr>
                <w:sz w:val="16"/>
                <w:szCs w:val="16"/>
                <w:lang w:val="en-US" w:eastAsia="x-none"/>
              </w:rPr>
              <w:t>For a DL HARQ process with disabled HARQ feedback in NB-IoT, at least the following UE behavior(s) can be considered:</w:t>
            </w:r>
          </w:p>
          <w:p w14:paraId="63DE195C" w14:textId="77777777" w:rsidR="00F36862" w:rsidRPr="00632C88" w:rsidRDefault="00F36862" w:rsidP="00B213B9">
            <w:pPr>
              <w:numPr>
                <w:ilvl w:val="0"/>
                <w:numId w:val="24"/>
              </w:numPr>
              <w:overflowPunct/>
              <w:autoSpaceDE/>
              <w:autoSpaceDN/>
              <w:adjustRightInd/>
              <w:spacing w:after="0"/>
              <w:textAlignment w:val="auto"/>
              <w:rPr>
                <w:sz w:val="16"/>
                <w:szCs w:val="16"/>
                <w:lang w:val="en-US" w:eastAsia="x-none"/>
              </w:rPr>
            </w:pPr>
            <w:r w:rsidRPr="00632C88">
              <w:rPr>
                <w:sz w:val="16"/>
                <w:szCs w:val="16"/>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5A7FC17A" w14:textId="77777777" w:rsidR="00F36862" w:rsidRPr="00632C88" w:rsidRDefault="00F36862" w:rsidP="00B213B9">
            <w:pPr>
              <w:numPr>
                <w:ilvl w:val="1"/>
                <w:numId w:val="24"/>
              </w:numPr>
              <w:overflowPunct/>
              <w:autoSpaceDE/>
              <w:autoSpaceDN/>
              <w:adjustRightInd/>
              <w:spacing w:after="0"/>
              <w:textAlignment w:val="auto"/>
              <w:rPr>
                <w:sz w:val="16"/>
                <w:szCs w:val="16"/>
                <w:lang w:val="en-US" w:eastAsia="x-none"/>
              </w:rPr>
            </w:pPr>
            <w:r w:rsidRPr="00632C88">
              <w:rPr>
                <w:sz w:val="16"/>
                <w:szCs w:val="16"/>
                <w:lang w:val="en-US" w:eastAsia="x-none"/>
              </w:rPr>
              <w:t>X =12</w:t>
            </w:r>
          </w:p>
          <w:p w14:paraId="722E441A" w14:textId="77777777" w:rsidR="00F36862" w:rsidRPr="00632C88" w:rsidRDefault="00F36862" w:rsidP="00B213B9">
            <w:pPr>
              <w:numPr>
                <w:ilvl w:val="0"/>
                <w:numId w:val="24"/>
              </w:numPr>
              <w:overflowPunct/>
              <w:autoSpaceDE/>
              <w:autoSpaceDN/>
              <w:adjustRightInd/>
              <w:spacing w:after="0"/>
              <w:textAlignment w:val="auto"/>
              <w:rPr>
                <w:sz w:val="16"/>
                <w:szCs w:val="16"/>
                <w:lang w:val="en-US" w:eastAsia="x-none"/>
              </w:rPr>
            </w:pPr>
            <w:r w:rsidRPr="00632C88">
              <w:rPr>
                <w:sz w:val="16"/>
                <w:szCs w:val="16"/>
                <w:lang w:val="en-US" w:eastAsia="x-none"/>
              </w:rPr>
              <w:t>Option 2: UE is not required to monitor NPDCCH in a period of Y(ms) from the end of reception of the last NPDSCH</w:t>
            </w:r>
          </w:p>
          <w:p w14:paraId="73F79107" w14:textId="77777777" w:rsidR="00F36862" w:rsidRPr="00632C88" w:rsidRDefault="00F36862" w:rsidP="00B213B9">
            <w:pPr>
              <w:numPr>
                <w:ilvl w:val="1"/>
                <w:numId w:val="24"/>
              </w:numPr>
              <w:overflowPunct/>
              <w:autoSpaceDE/>
              <w:autoSpaceDN/>
              <w:adjustRightInd/>
              <w:spacing w:after="0"/>
              <w:textAlignment w:val="auto"/>
              <w:rPr>
                <w:sz w:val="16"/>
                <w:szCs w:val="16"/>
                <w:lang w:val="en-US" w:eastAsia="x-none"/>
              </w:rPr>
            </w:pPr>
            <w:r w:rsidRPr="00632C88">
              <w:rPr>
                <w:sz w:val="16"/>
                <w:szCs w:val="16"/>
                <w:lang w:val="en-US" w:eastAsia="x-none"/>
              </w:rPr>
              <w:t>Y=12</w:t>
            </w:r>
          </w:p>
          <w:p w14:paraId="7B83B5D8" w14:textId="77777777" w:rsidR="00F36862" w:rsidRPr="00632C88" w:rsidRDefault="00F36862" w:rsidP="00704657">
            <w:pPr>
              <w:rPr>
                <w:lang w:val="en-US" w:eastAsia="x-none"/>
              </w:rPr>
            </w:pPr>
            <w:r w:rsidRPr="00632C88">
              <w:rPr>
                <w:sz w:val="16"/>
                <w:szCs w:val="16"/>
                <w:lang w:val="en-US" w:eastAsia="x-none"/>
              </w:rPr>
              <w:t>Note: it may be different UE behaviors for different UE categories (e.g., UE with single/multiple HARQ processes)</w:t>
            </w:r>
          </w:p>
        </w:tc>
      </w:tr>
    </w:tbl>
    <w:p w14:paraId="7A99C477" w14:textId="77777777" w:rsidR="00F36862" w:rsidRDefault="00F36862" w:rsidP="00F36862">
      <w:pPr>
        <w:jc w:val="both"/>
      </w:pPr>
    </w:p>
    <w:p w14:paraId="7813138C" w14:textId="77777777" w:rsidR="00F36862" w:rsidRDefault="00F36862" w:rsidP="00F36862">
      <w:pPr>
        <w:jc w:val="both"/>
      </w:pPr>
      <w:r>
        <w:t>During RAN1# 110, the value of “12 ms” was settled but we asked for more time to analyse the wording in “Option1” and “Option 2” before taking any premature decision. Below we analyse the options under discussion:</w:t>
      </w:r>
    </w:p>
    <w:p w14:paraId="0EE1C7B1" w14:textId="181EB5A3" w:rsidR="00F36862" w:rsidRDefault="00F36862" w:rsidP="00F36862">
      <w:pPr>
        <w:pStyle w:val="Heading3"/>
      </w:pPr>
      <w:r>
        <w:t>3.</w:t>
      </w:r>
      <w:r w:rsidR="00037E3A">
        <w:t>1</w:t>
      </w:r>
      <w:r>
        <w:t>.1 Disabling approach according with Option 1.</w:t>
      </w:r>
    </w:p>
    <w:p w14:paraId="06B67F16" w14:textId="77777777" w:rsidR="00F36862" w:rsidRDefault="00F36862" w:rsidP="00F36862">
      <w:r>
        <w:t>Option 1 states:</w:t>
      </w:r>
    </w:p>
    <w:tbl>
      <w:tblPr>
        <w:tblStyle w:val="TableGrid"/>
        <w:tblW w:w="0" w:type="auto"/>
        <w:tblLook w:val="04A0" w:firstRow="1" w:lastRow="0" w:firstColumn="1" w:lastColumn="0" w:noHBand="0" w:noVBand="1"/>
      </w:tblPr>
      <w:tblGrid>
        <w:gridCol w:w="9629"/>
      </w:tblGrid>
      <w:tr w:rsidR="00F36862" w14:paraId="58D67C13" w14:textId="77777777" w:rsidTr="00704657">
        <w:tc>
          <w:tcPr>
            <w:tcW w:w="9629" w:type="dxa"/>
          </w:tcPr>
          <w:p w14:paraId="223621CC" w14:textId="77777777" w:rsidR="00F36862" w:rsidRPr="00632C88" w:rsidRDefault="00F36862" w:rsidP="00B213B9">
            <w:pPr>
              <w:numPr>
                <w:ilvl w:val="0"/>
                <w:numId w:val="24"/>
              </w:numPr>
              <w:overflowPunct/>
              <w:autoSpaceDE/>
              <w:autoSpaceDN/>
              <w:adjustRightInd/>
              <w:spacing w:after="0"/>
              <w:textAlignment w:val="auto"/>
              <w:rPr>
                <w:sz w:val="16"/>
                <w:szCs w:val="16"/>
                <w:lang w:val="en-US" w:eastAsia="x-none"/>
              </w:rPr>
            </w:pPr>
            <w:r w:rsidRPr="00632C88">
              <w:rPr>
                <w:sz w:val="16"/>
                <w:szCs w:val="16"/>
                <w:lang w:val="en-US" w:eastAsia="x-none"/>
              </w:rPr>
              <w:t xml:space="preserve">Option 1: UE is not expected to receive another NPDCCH carrying a DCI scheduling a NPDSCH for a given HARQ process that starts until X(ms) after the end of the reception of the last NPDSCH for that HARQ process. </w:t>
            </w:r>
          </w:p>
          <w:p w14:paraId="11BB486F" w14:textId="77777777" w:rsidR="00F36862" w:rsidRPr="006D0EB1" w:rsidRDefault="00F36862" w:rsidP="00B213B9">
            <w:pPr>
              <w:numPr>
                <w:ilvl w:val="1"/>
                <w:numId w:val="24"/>
              </w:numPr>
              <w:overflowPunct/>
              <w:autoSpaceDE/>
              <w:autoSpaceDN/>
              <w:adjustRightInd/>
              <w:spacing w:after="0"/>
              <w:textAlignment w:val="auto"/>
              <w:rPr>
                <w:sz w:val="16"/>
                <w:szCs w:val="16"/>
                <w:lang w:val="en-US" w:eastAsia="x-none"/>
              </w:rPr>
            </w:pPr>
            <w:r w:rsidRPr="00632C88">
              <w:rPr>
                <w:sz w:val="16"/>
                <w:szCs w:val="16"/>
                <w:lang w:val="en-US" w:eastAsia="x-none"/>
              </w:rPr>
              <w:t>X =12</w:t>
            </w:r>
          </w:p>
        </w:tc>
      </w:tr>
    </w:tbl>
    <w:p w14:paraId="3762D61F" w14:textId="77777777" w:rsidR="00F36862" w:rsidRDefault="00F36862" w:rsidP="00F36862"/>
    <w:p w14:paraId="65BD2858" w14:textId="73BFCB7D" w:rsidR="00F36862" w:rsidRDefault="00F36862" w:rsidP="00F36862">
      <w:pPr>
        <w:jc w:val="both"/>
      </w:pPr>
      <w:r>
        <w:t>In a</w:t>
      </w:r>
      <w:r w:rsidR="002B0094">
        <w:t>n</w:t>
      </w:r>
      <w:r>
        <w:t xml:space="preserve"> NB-IoT scenario with two HARQ processes</w:t>
      </w:r>
      <w:r w:rsidR="003C1FA5">
        <w:t xml:space="preserve"> (both with HARQ feedback disabled)</w:t>
      </w:r>
      <w:r>
        <w:t xml:space="preserve">, “Option 1” in the diagram below means that the subsequent transmission of “HARQ process#0” can occur earliest at subframe# </w:t>
      </w:r>
      <w:r w:rsidRPr="00873D4D">
        <w:rPr>
          <w:highlight w:val="yellow"/>
        </w:rPr>
        <w:t>27</w:t>
      </w:r>
      <w:r>
        <w:t xml:space="preserve">, whereas the subsequent transmission of “HARQ process#1” can occur earliest at subframe# </w:t>
      </w:r>
      <w:r w:rsidRPr="00873D4D">
        <w:rPr>
          <w:highlight w:val="red"/>
        </w:rPr>
        <w:t>37</w:t>
      </w:r>
      <w:r>
        <w:t>.</w:t>
      </w:r>
    </w:p>
    <w:p w14:paraId="24C1A3F1" w14:textId="1F9251FB" w:rsidR="00F36862" w:rsidRPr="00A87D48" w:rsidRDefault="00F36862" w:rsidP="00F36862">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sidR="003C1FA5">
        <w:rPr>
          <w:rFonts w:ascii="Times New Roman" w:hAnsi="Times New Roman"/>
          <w:sz w:val="16"/>
          <w:szCs w:val="16"/>
          <w:lang w:eastAsia="ja-JP"/>
        </w:rPr>
        <w:t>3A</w:t>
      </w:r>
      <w:r w:rsidRPr="00A87D48">
        <w:rPr>
          <w:rFonts w:ascii="Times New Roman" w:hAnsi="Times New Roman"/>
          <w:sz w:val="16"/>
          <w:szCs w:val="16"/>
          <w:lang w:eastAsia="ja-JP"/>
        </w:rPr>
        <w:t xml:space="preserve">: </w:t>
      </w:r>
      <w:r w:rsidR="00C95E7A">
        <w:rPr>
          <w:rFonts w:ascii="Times New Roman" w:hAnsi="Times New Roman"/>
          <w:sz w:val="16"/>
          <w:szCs w:val="16"/>
          <w:lang w:eastAsia="ja-JP"/>
        </w:rPr>
        <w:t>“Option 1”</w:t>
      </w:r>
      <w:r w:rsidRPr="006A54A2">
        <w:rPr>
          <w:rFonts w:ascii="Times New Roman" w:hAnsi="Times New Roman"/>
          <w:sz w:val="16"/>
          <w:szCs w:val="16"/>
          <w:lang w:eastAsia="ja-JP"/>
        </w:rPr>
        <w:t xml:space="preserve"> using two HARQ</w:t>
      </w:r>
      <w:r>
        <w:rPr>
          <w:rFonts w:ascii="Times New Roman" w:hAnsi="Times New Roman"/>
          <w:sz w:val="16"/>
          <w:szCs w:val="16"/>
          <w:lang w:eastAsia="ja-JP"/>
        </w:rPr>
        <w:t xml:space="preserve"> processes</w:t>
      </w:r>
      <w:r w:rsidRPr="006A54A2">
        <w:rPr>
          <w:rFonts w:ascii="Times New Roman" w:hAnsi="Times New Roman"/>
          <w:sz w:val="16"/>
          <w:szCs w:val="16"/>
          <w:lang w:eastAsia="ja-JP"/>
        </w:rPr>
        <w:t xml:space="preserve"> for </w:t>
      </w:r>
      <w:r>
        <w:rPr>
          <w:rFonts w:ascii="Times New Roman" w:hAnsi="Times New Roman"/>
          <w:sz w:val="16"/>
          <w:szCs w:val="16"/>
          <w:lang w:eastAsia="ja-JP"/>
        </w:rPr>
        <w:t xml:space="preserve">a </w:t>
      </w:r>
      <w:r w:rsidRPr="006A54A2">
        <w:rPr>
          <w:rFonts w:ascii="Times New Roman" w:hAnsi="Times New Roman"/>
          <w:sz w:val="16"/>
          <w:szCs w:val="16"/>
          <w:lang w:eastAsia="ja-JP"/>
        </w:rPr>
        <w:t>Cat-NB2 UE</w:t>
      </w:r>
      <w:r w:rsidRPr="00A87D48">
        <w:rPr>
          <w:rFonts w:ascii="Times New Roman" w:hAnsi="Times New Roman"/>
          <w:sz w:val="16"/>
          <w:szCs w:val="16"/>
          <w:lang w:eastAsia="ja-JP"/>
        </w:rPr>
        <w:t>.</w:t>
      </w:r>
    </w:p>
    <w:tbl>
      <w:tblPr>
        <w:tblW w:w="9869" w:type="dxa"/>
        <w:tblInd w:w="-118" w:type="dxa"/>
        <w:tblLayout w:type="fixed"/>
        <w:tblCellMar>
          <w:left w:w="0" w:type="dxa"/>
          <w:right w:w="0" w:type="dxa"/>
        </w:tblCellMar>
        <w:tblLook w:val="04A0" w:firstRow="1" w:lastRow="0" w:firstColumn="1" w:lastColumn="0" w:noHBand="0" w:noVBand="1"/>
      </w:tblPr>
      <w:tblGrid>
        <w:gridCol w:w="534"/>
        <w:gridCol w:w="577"/>
        <w:gridCol w:w="277"/>
        <w:gridCol w:w="277"/>
        <w:gridCol w:w="277"/>
        <w:gridCol w:w="277"/>
        <w:gridCol w:w="277"/>
        <w:gridCol w:w="277"/>
        <w:gridCol w:w="277"/>
        <w:gridCol w:w="277"/>
        <w:gridCol w:w="277"/>
        <w:gridCol w:w="277"/>
        <w:gridCol w:w="328"/>
        <w:gridCol w:w="328"/>
        <w:gridCol w:w="328"/>
        <w:gridCol w:w="328"/>
        <w:gridCol w:w="328"/>
        <w:gridCol w:w="328"/>
        <w:gridCol w:w="328"/>
        <w:gridCol w:w="328"/>
        <w:gridCol w:w="328"/>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tblGrid>
      <w:tr w:rsidR="00C03308" w:rsidRPr="001531A8" w14:paraId="13BF4197" w14:textId="228D0115" w:rsidTr="00C03308">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B249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Earliest DL Reception of the subsequent HARQ Process as per “Option 1”</w:t>
            </w:r>
          </w:p>
        </w:tc>
        <w:tc>
          <w:tcPr>
            <w:tcW w:w="277" w:type="dxa"/>
            <w:tcBorders>
              <w:top w:val="single" w:sz="8" w:space="0" w:color="auto"/>
              <w:left w:val="nil"/>
              <w:right w:val="single" w:sz="8" w:space="0" w:color="auto"/>
            </w:tcBorders>
            <w:tcMar>
              <w:top w:w="0" w:type="dxa"/>
              <w:left w:w="108" w:type="dxa"/>
              <w:bottom w:w="0" w:type="dxa"/>
              <w:right w:w="108" w:type="dxa"/>
            </w:tcMar>
          </w:tcPr>
          <w:p w14:paraId="2D76F4F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F9DB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7238F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1350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5B1AD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217BC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965AA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21B9C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E1B93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BB20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3A573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31BA0B"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B0DA3"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0717A8"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236206"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74396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BDBBF"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9FD5C"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399D7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B5BDA44"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DD14756"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0AA5F8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3204545"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80E1F84"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0DBD9D1"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D3FF45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98E763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FF00"/>
          </w:tcPr>
          <w:p w14:paraId="595AF5EC" w14:textId="77777777" w:rsidR="00C03308" w:rsidRDefault="00C03308" w:rsidP="00704657">
            <w:pPr>
              <w:overflowPunct/>
              <w:autoSpaceDE/>
              <w:autoSpaceDN/>
              <w:adjustRightInd/>
              <w:spacing w:after="0"/>
              <w:textAlignment w:val="auto"/>
              <w:rPr>
                <w:rFonts w:asciiTheme="minorHAnsi" w:hAnsiTheme="minorHAnsi" w:cstheme="minorHAnsi"/>
                <w:sz w:val="11"/>
                <w:szCs w:val="11"/>
                <w:lang w:eastAsia="en-GB"/>
              </w:rPr>
            </w:pPr>
          </w:p>
          <w:p w14:paraId="119950EE" w14:textId="77777777" w:rsidR="00C03308" w:rsidRDefault="00C03308" w:rsidP="00704657">
            <w:pPr>
              <w:overflowPunct/>
              <w:autoSpaceDE/>
              <w:autoSpaceDN/>
              <w:adjustRightInd/>
              <w:spacing w:after="0"/>
              <w:textAlignment w:val="auto"/>
              <w:rPr>
                <w:rFonts w:asciiTheme="minorHAnsi" w:hAnsiTheme="minorHAnsi" w:cstheme="minorHAnsi"/>
                <w:sz w:val="11"/>
                <w:szCs w:val="11"/>
                <w:lang w:eastAsia="en-GB"/>
              </w:rPr>
            </w:pPr>
          </w:p>
          <w:p w14:paraId="41C2670B"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59F7EDC2"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7690060"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2400EA2"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E7E39B0"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B77F0C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35DB679"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D2E1D2B"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D21D2F6"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5A7071F"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0000"/>
          </w:tcPr>
          <w:p w14:paraId="23C935B6" w14:textId="77777777" w:rsidR="00C03308" w:rsidRDefault="00C03308" w:rsidP="00704657">
            <w:pPr>
              <w:overflowPunct/>
              <w:autoSpaceDE/>
              <w:autoSpaceDN/>
              <w:adjustRightInd/>
              <w:spacing w:after="0"/>
              <w:textAlignment w:val="auto"/>
              <w:rPr>
                <w:rFonts w:asciiTheme="minorHAnsi" w:hAnsiTheme="minorHAnsi" w:cstheme="minorHAnsi"/>
                <w:sz w:val="11"/>
                <w:szCs w:val="11"/>
                <w:lang w:eastAsia="en-GB"/>
              </w:rPr>
            </w:pPr>
          </w:p>
          <w:p w14:paraId="791E4DEC" w14:textId="77777777" w:rsidR="00C03308" w:rsidRDefault="00C03308" w:rsidP="00704657">
            <w:pPr>
              <w:overflowPunct/>
              <w:autoSpaceDE/>
              <w:autoSpaceDN/>
              <w:adjustRightInd/>
              <w:spacing w:after="0"/>
              <w:textAlignment w:val="auto"/>
              <w:rPr>
                <w:rFonts w:asciiTheme="minorHAnsi" w:hAnsiTheme="minorHAnsi" w:cstheme="minorHAnsi"/>
                <w:sz w:val="11"/>
                <w:szCs w:val="11"/>
                <w:lang w:eastAsia="en-GB"/>
              </w:rPr>
            </w:pPr>
          </w:p>
          <w:p w14:paraId="1AA04987"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12317E03"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FBBF4E3"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8AE59F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66F5474"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p>
        </w:tc>
      </w:tr>
      <w:tr w:rsidR="00C03308" w:rsidRPr="001531A8" w14:paraId="6D201A09" w14:textId="3C9A4440" w:rsidTr="00C03308">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3E8F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val="sv-SE" w:eastAsia="en-GB"/>
              </w:rPr>
            </w:pPr>
            <w:r w:rsidRPr="001531A8">
              <w:rPr>
                <w:rFonts w:asciiTheme="minorHAnsi" w:hAnsiTheme="minorHAnsi" w:cstheme="minorHAnsi"/>
                <w:sz w:val="12"/>
                <w:szCs w:val="12"/>
                <w:lang w:eastAsia="en-GB"/>
              </w:rPr>
              <w:t>Subrame#</w:t>
            </w:r>
          </w:p>
        </w:tc>
        <w:tc>
          <w:tcPr>
            <w:tcW w:w="277" w:type="dxa"/>
            <w:tcBorders>
              <w:top w:val="single" w:sz="8" w:space="0" w:color="auto"/>
              <w:left w:val="nil"/>
              <w:right w:val="single" w:sz="8" w:space="0" w:color="auto"/>
            </w:tcBorders>
            <w:tcMar>
              <w:top w:w="0" w:type="dxa"/>
              <w:left w:w="108" w:type="dxa"/>
              <w:bottom w:w="0" w:type="dxa"/>
              <w:right w:w="108" w:type="dxa"/>
            </w:tcMar>
            <w:hideMark/>
          </w:tcPr>
          <w:p w14:paraId="674C2A0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575D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7438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74EC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5872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9F983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A08CF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DB98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32DE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6050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9</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B2E7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10</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43488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11</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33813"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12</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B3A2C"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13</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37AD4"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14</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0C16D7"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15</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531AA"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16</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F0E77"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17</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3ABE8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18</w:t>
            </w:r>
          </w:p>
        </w:tc>
        <w:tc>
          <w:tcPr>
            <w:tcW w:w="132" w:type="dxa"/>
            <w:tcBorders>
              <w:top w:val="single" w:sz="8" w:space="0" w:color="auto"/>
              <w:left w:val="nil"/>
              <w:bottom w:val="single" w:sz="8" w:space="0" w:color="auto"/>
              <w:right w:val="single" w:sz="8" w:space="0" w:color="auto"/>
            </w:tcBorders>
            <w:hideMark/>
          </w:tcPr>
          <w:p w14:paraId="4BAD0076"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19</w:t>
            </w:r>
          </w:p>
        </w:tc>
        <w:tc>
          <w:tcPr>
            <w:tcW w:w="132" w:type="dxa"/>
            <w:tcBorders>
              <w:top w:val="single" w:sz="8" w:space="0" w:color="auto"/>
              <w:left w:val="nil"/>
              <w:bottom w:val="single" w:sz="8" w:space="0" w:color="auto"/>
              <w:right w:val="single" w:sz="8" w:space="0" w:color="auto"/>
            </w:tcBorders>
            <w:hideMark/>
          </w:tcPr>
          <w:p w14:paraId="46F79585"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20</w:t>
            </w:r>
          </w:p>
        </w:tc>
        <w:tc>
          <w:tcPr>
            <w:tcW w:w="132" w:type="dxa"/>
            <w:tcBorders>
              <w:top w:val="single" w:sz="8" w:space="0" w:color="auto"/>
              <w:left w:val="nil"/>
              <w:bottom w:val="single" w:sz="8" w:space="0" w:color="auto"/>
              <w:right w:val="single" w:sz="8" w:space="0" w:color="auto"/>
            </w:tcBorders>
            <w:hideMark/>
          </w:tcPr>
          <w:p w14:paraId="232FE350"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21</w:t>
            </w:r>
          </w:p>
        </w:tc>
        <w:tc>
          <w:tcPr>
            <w:tcW w:w="132" w:type="dxa"/>
            <w:tcBorders>
              <w:top w:val="single" w:sz="8" w:space="0" w:color="auto"/>
              <w:left w:val="nil"/>
              <w:bottom w:val="single" w:sz="8" w:space="0" w:color="auto"/>
              <w:right w:val="single" w:sz="8" w:space="0" w:color="auto"/>
            </w:tcBorders>
            <w:hideMark/>
          </w:tcPr>
          <w:p w14:paraId="7F303F49"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22</w:t>
            </w:r>
          </w:p>
        </w:tc>
        <w:tc>
          <w:tcPr>
            <w:tcW w:w="132" w:type="dxa"/>
            <w:tcBorders>
              <w:top w:val="single" w:sz="8" w:space="0" w:color="auto"/>
              <w:left w:val="nil"/>
              <w:bottom w:val="single" w:sz="8" w:space="0" w:color="auto"/>
              <w:right w:val="single" w:sz="8" w:space="0" w:color="auto"/>
            </w:tcBorders>
            <w:hideMark/>
          </w:tcPr>
          <w:p w14:paraId="78F8E1C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23</w:t>
            </w:r>
          </w:p>
        </w:tc>
        <w:tc>
          <w:tcPr>
            <w:tcW w:w="132" w:type="dxa"/>
            <w:tcBorders>
              <w:top w:val="single" w:sz="8" w:space="0" w:color="auto"/>
              <w:left w:val="nil"/>
              <w:bottom w:val="single" w:sz="8" w:space="0" w:color="auto"/>
              <w:right w:val="single" w:sz="8" w:space="0" w:color="auto"/>
            </w:tcBorders>
            <w:hideMark/>
          </w:tcPr>
          <w:p w14:paraId="7EFB99A3"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24</w:t>
            </w:r>
          </w:p>
        </w:tc>
        <w:tc>
          <w:tcPr>
            <w:tcW w:w="132" w:type="dxa"/>
            <w:tcBorders>
              <w:top w:val="single" w:sz="8" w:space="0" w:color="auto"/>
              <w:left w:val="nil"/>
              <w:bottom w:val="single" w:sz="8" w:space="0" w:color="auto"/>
              <w:right w:val="single" w:sz="8" w:space="0" w:color="auto"/>
            </w:tcBorders>
            <w:hideMark/>
          </w:tcPr>
          <w:p w14:paraId="15420185"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25</w:t>
            </w:r>
          </w:p>
        </w:tc>
        <w:tc>
          <w:tcPr>
            <w:tcW w:w="132" w:type="dxa"/>
            <w:tcBorders>
              <w:top w:val="single" w:sz="8" w:space="0" w:color="auto"/>
              <w:left w:val="nil"/>
              <w:bottom w:val="single" w:sz="8" w:space="0" w:color="auto"/>
              <w:right w:val="single" w:sz="8" w:space="0" w:color="auto"/>
            </w:tcBorders>
            <w:hideMark/>
          </w:tcPr>
          <w:p w14:paraId="2041162C"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26</w:t>
            </w:r>
          </w:p>
        </w:tc>
        <w:tc>
          <w:tcPr>
            <w:tcW w:w="132" w:type="dxa"/>
            <w:tcBorders>
              <w:top w:val="single" w:sz="8" w:space="0" w:color="auto"/>
              <w:left w:val="nil"/>
              <w:bottom w:val="single" w:sz="8" w:space="0" w:color="auto"/>
              <w:right w:val="single" w:sz="8" w:space="0" w:color="auto"/>
            </w:tcBorders>
            <w:hideMark/>
          </w:tcPr>
          <w:p w14:paraId="7BFC5B11"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27</w:t>
            </w:r>
          </w:p>
        </w:tc>
        <w:tc>
          <w:tcPr>
            <w:tcW w:w="132" w:type="dxa"/>
            <w:tcBorders>
              <w:top w:val="single" w:sz="8" w:space="0" w:color="auto"/>
              <w:left w:val="nil"/>
              <w:bottom w:val="single" w:sz="8" w:space="0" w:color="auto"/>
              <w:right w:val="single" w:sz="8" w:space="0" w:color="auto"/>
            </w:tcBorders>
            <w:hideMark/>
          </w:tcPr>
          <w:p w14:paraId="1B3E8726"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28</w:t>
            </w:r>
          </w:p>
        </w:tc>
        <w:tc>
          <w:tcPr>
            <w:tcW w:w="132" w:type="dxa"/>
            <w:tcBorders>
              <w:top w:val="single" w:sz="8" w:space="0" w:color="auto"/>
              <w:left w:val="nil"/>
              <w:bottom w:val="single" w:sz="8" w:space="0" w:color="auto"/>
              <w:right w:val="single" w:sz="8" w:space="0" w:color="auto"/>
            </w:tcBorders>
            <w:hideMark/>
          </w:tcPr>
          <w:p w14:paraId="48D38CE7"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29</w:t>
            </w:r>
          </w:p>
        </w:tc>
        <w:tc>
          <w:tcPr>
            <w:tcW w:w="132" w:type="dxa"/>
            <w:tcBorders>
              <w:top w:val="single" w:sz="8" w:space="0" w:color="auto"/>
              <w:left w:val="nil"/>
              <w:bottom w:val="single" w:sz="8" w:space="0" w:color="auto"/>
              <w:right w:val="single" w:sz="8" w:space="0" w:color="auto"/>
            </w:tcBorders>
            <w:hideMark/>
          </w:tcPr>
          <w:p w14:paraId="76D15A6C"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30</w:t>
            </w:r>
          </w:p>
        </w:tc>
        <w:tc>
          <w:tcPr>
            <w:tcW w:w="132" w:type="dxa"/>
            <w:tcBorders>
              <w:top w:val="single" w:sz="8" w:space="0" w:color="auto"/>
              <w:left w:val="nil"/>
              <w:bottom w:val="single" w:sz="8" w:space="0" w:color="auto"/>
              <w:right w:val="single" w:sz="8" w:space="0" w:color="auto"/>
            </w:tcBorders>
            <w:hideMark/>
          </w:tcPr>
          <w:p w14:paraId="5886DFA3"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31</w:t>
            </w:r>
          </w:p>
        </w:tc>
        <w:tc>
          <w:tcPr>
            <w:tcW w:w="132" w:type="dxa"/>
            <w:tcBorders>
              <w:top w:val="single" w:sz="8" w:space="0" w:color="auto"/>
              <w:left w:val="nil"/>
              <w:bottom w:val="single" w:sz="8" w:space="0" w:color="auto"/>
              <w:right w:val="single" w:sz="8" w:space="0" w:color="auto"/>
            </w:tcBorders>
            <w:hideMark/>
          </w:tcPr>
          <w:p w14:paraId="493E5A8A"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32</w:t>
            </w:r>
          </w:p>
        </w:tc>
        <w:tc>
          <w:tcPr>
            <w:tcW w:w="132" w:type="dxa"/>
            <w:tcBorders>
              <w:top w:val="single" w:sz="8" w:space="0" w:color="auto"/>
              <w:left w:val="nil"/>
              <w:bottom w:val="single" w:sz="8" w:space="0" w:color="auto"/>
              <w:right w:val="single" w:sz="8" w:space="0" w:color="auto"/>
            </w:tcBorders>
            <w:hideMark/>
          </w:tcPr>
          <w:p w14:paraId="7824304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33</w:t>
            </w:r>
          </w:p>
        </w:tc>
        <w:tc>
          <w:tcPr>
            <w:tcW w:w="132" w:type="dxa"/>
            <w:tcBorders>
              <w:top w:val="single" w:sz="8" w:space="0" w:color="auto"/>
              <w:left w:val="nil"/>
              <w:bottom w:val="single" w:sz="8" w:space="0" w:color="auto"/>
              <w:right w:val="single" w:sz="8" w:space="0" w:color="auto"/>
            </w:tcBorders>
            <w:hideMark/>
          </w:tcPr>
          <w:p w14:paraId="1F5E07D0"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34</w:t>
            </w:r>
          </w:p>
        </w:tc>
        <w:tc>
          <w:tcPr>
            <w:tcW w:w="132" w:type="dxa"/>
            <w:tcBorders>
              <w:top w:val="single" w:sz="8" w:space="0" w:color="auto"/>
              <w:left w:val="nil"/>
              <w:bottom w:val="single" w:sz="8" w:space="0" w:color="auto"/>
              <w:right w:val="single" w:sz="8" w:space="0" w:color="auto"/>
            </w:tcBorders>
            <w:hideMark/>
          </w:tcPr>
          <w:p w14:paraId="755E8A8E"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35</w:t>
            </w:r>
          </w:p>
        </w:tc>
        <w:tc>
          <w:tcPr>
            <w:tcW w:w="132" w:type="dxa"/>
            <w:tcBorders>
              <w:top w:val="single" w:sz="8" w:space="0" w:color="auto"/>
              <w:left w:val="nil"/>
              <w:bottom w:val="single" w:sz="8" w:space="0" w:color="auto"/>
              <w:right w:val="single" w:sz="8" w:space="0" w:color="auto"/>
            </w:tcBorders>
            <w:hideMark/>
          </w:tcPr>
          <w:p w14:paraId="46F65B2D"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36</w:t>
            </w:r>
          </w:p>
        </w:tc>
        <w:tc>
          <w:tcPr>
            <w:tcW w:w="132" w:type="dxa"/>
            <w:tcBorders>
              <w:top w:val="single" w:sz="8" w:space="0" w:color="auto"/>
              <w:left w:val="nil"/>
              <w:bottom w:val="single" w:sz="8" w:space="0" w:color="auto"/>
              <w:right w:val="single" w:sz="8" w:space="0" w:color="auto"/>
            </w:tcBorders>
            <w:hideMark/>
          </w:tcPr>
          <w:p w14:paraId="7414B545"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37</w:t>
            </w:r>
          </w:p>
        </w:tc>
        <w:tc>
          <w:tcPr>
            <w:tcW w:w="132" w:type="dxa"/>
            <w:tcBorders>
              <w:top w:val="single" w:sz="8" w:space="0" w:color="auto"/>
              <w:left w:val="nil"/>
              <w:bottom w:val="single" w:sz="8" w:space="0" w:color="auto"/>
              <w:right w:val="single" w:sz="8" w:space="0" w:color="auto"/>
            </w:tcBorders>
            <w:hideMark/>
          </w:tcPr>
          <w:p w14:paraId="597B15CB"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38</w:t>
            </w:r>
          </w:p>
        </w:tc>
        <w:tc>
          <w:tcPr>
            <w:tcW w:w="132" w:type="dxa"/>
            <w:tcBorders>
              <w:top w:val="single" w:sz="8" w:space="0" w:color="auto"/>
              <w:left w:val="nil"/>
              <w:bottom w:val="single" w:sz="8" w:space="0" w:color="auto"/>
              <w:right w:val="single" w:sz="8" w:space="0" w:color="auto"/>
            </w:tcBorders>
            <w:hideMark/>
          </w:tcPr>
          <w:p w14:paraId="62000527"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39</w:t>
            </w:r>
          </w:p>
        </w:tc>
        <w:tc>
          <w:tcPr>
            <w:tcW w:w="132" w:type="dxa"/>
            <w:tcBorders>
              <w:top w:val="single" w:sz="8" w:space="0" w:color="auto"/>
              <w:left w:val="nil"/>
              <w:bottom w:val="single" w:sz="8" w:space="0" w:color="auto"/>
              <w:right w:val="single" w:sz="8" w:space="0" w:color="auto"/>
            </w:tcBorders>
            <w:hideMark/>
          </w:tcPr>
          <w:p w14:paraId="35D2A566" w14:textId="77777777"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40</w:t>
            </w:r>
          </w:p>
        </w:tc>
        <w:tc>
          <w:tcPr>
            <w:tcW w:w="132" w:type="dxa"/>
            <w:tcBorders>
              <w:top w:val="single" w:sz="8" w:space="0" w:color="auto"/>
              <w:left w:val="nil"/>
              <w:bottom w:val="single" w:sz="8" w:space="0" w:color="auto"/>
              <w:right w:val="single" w:sz="8" w:space="0" w:color="auto"/>
            </w:tcBorders>
          </w:tcPr>
          <w:p w14:paraId="05391030" w14:textId="5FC5AB49" w:rsidR="00C03308" w:rsidRPr="001531A8" w:rsidRDefault="00C03308"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r>
      <w:tr w:rsidR="00C03308" w:rsidRPr="001531A8" w14:paraId="3F856158" w14:textId="230E84A1" w:rsidTr="00C03308">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93BF4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NPDCCH</w:t>
            </w:r>
          </w:p>
        </w:tc>
        <w:tc>
          <w:tcPr>
            <w:tcW w:w="277" w:type="dxa"/>
            <w:tcBorders>
              <w:top w:val="nil"/>
              <w:left w:val="nil"/>
              <w:bottom w:val="single" w:sz="8" w:space="0" w:color="4472C4"/>
              <w:right w:val="single" w:sz="8" w:space="0" w:color="auto"/>
            </w:tcBorders>
            <w:shd w:val="clear" w:color="auto" w:fill="5B9BD5" w:themeFill="accent5"/>
            <w:tcMar>
              <w:top w:w="0" w:type="dxa"/>
              <w:left w:w="108" w:type="dxa"/>
              <w:bottom w:w="0" w:type="dxa"/>
              <w:right w:w="108" w:type="dxa"/>
            </w:tcMar>
            <w:hideMark/>
          </w:tcPr>
          <w:p w14:paraId="561D27B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78937B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262AABE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E11FA5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2BD964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E3ADDE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35F1AD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296827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318554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78BEE7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4E48202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40053DD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2421851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4FBC17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9399A3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71DF163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663FFB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555F11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D0FB30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E534CE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CB96F4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0EF470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6845C3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ED1815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65ADF2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72F0BF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2EB032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0080C0"/>
          </w:tcPr>
          <w:p w14:paraId="3CE4FC1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32" w:type="dxa"/>
            <w:tcBorders>
              <w:top w:val="nil"/>
              <w:left w:val="nil"/>
              <w:bottom w:val="single" w:sz="8" w:space="0" w:color="auto"/>
              <w:right w:val="single" w:sz="8" w:space="0" w:color="auto"/>
            </w:tcBorders>
          </w:tcPr>
          <w:p w14:paraId="37A88B4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7F3D2B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FE8CCD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106493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932996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53475B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893B64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5C4BDB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7AF4CA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FFE599" w:themeFill="accent4" w:themeFillTint="66"/>
          </w:tcPr>
          <w:p w14:paraId="5B1D8D5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32" w:type="dxa"/>
            <w:tcBorders>
              <w:top w:val="nil"/>
              <w:left w:val="nil"/>
              <w:bottom w:val="single" w:sz="8" w:space="0" w:color="auto"/>
              <w:right w:val="single" w:sz="8" w:space="0" w:color="auto"/>
            </w:tcBorders>
          </w:tcPr>
          <w:p w14:paraId="17C3620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D9454D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hideMark/>
          </w:tcPr>
          <w:p w14:paraId="7E87EC6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F02DF4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r>
      <w:tr w:rsidR="00C03308" w:rsidRPr="001531A8" w14:paraId="13AD90CA" w14:textId="63C16A5B" w:rsidTr="00C03308">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F447B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NPDSCH</w:t>
            </w:r>
          </w:p>
        </w:tc>
        <w:tc>
          <w:tcPr>
            <w:tcW w:w="277" w:type="dxa"/>
            <w:tcBorders>
              <w:top w:val="single" w:sz="8" w:space="0" w:color="4472C4"/>
              <w:left w:val="nil"/>
              <w:bottom w:val="single" w:sz="8" w:space="0" w:color="auto"/>
              <w:right w:val="single" w:sz="8" w:space="0" w:color="auto"/>
            </w:tcBorders>
            <w:tcMar>
              <w:top w:w="0" w:type="dxa"/>
              <w:left w:w="108" w:type="dxa"/>
              <w:bottom w:w="0" w:type="dxa"/>
              <w:right w:w="108" w:type="dxa"/>
            </w:tcMar>
            <w:hideMark/>
          </w:tcPr>
          <w:p w14:paraId="086FC353"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2A4EF3D"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7AD7D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FB652E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09749E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025" w:type="dxa"/>
            <w:gridSpan w:val="10"/>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36FBD30E"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104" w:type="dxa"/>
            <w:gridSpan w:val="10"/>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75DC7E46"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132" w:type="dxa"/>
            <w:tcBorders>
              <w:top w:val="single" w:sz="8" w:space="0" w:color="auto"/>
              <w:left w:val="nil"/>
              <w:bottom w:val="single" w:sz="8" w:space="0" w:color="auto"/>
              <w:right w:val="single" w:sz="8" w:space="0" w:color="auto"/>
            </w:tcBorders>
          </w:tcPr>
          <w:p w14:paraId="26E53A7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301BF6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517AA4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7EC4EE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F9C612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D477EC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AD6F33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0" w:type="dxa"/>
            <w:gridSpan w:val="10"/>
            <w:tcBorders>
              <w:top w:val="single" w:sz="8" w:space="0" w:color="auto"/>
              <w:left w:val="nil"/>
              <w:bottom w:val="single" w:sz="8" w:space="0" w:color="auto"/>
              <w:right w:val="single" w:sz="8" w:space="0" w:color="auto"/>
            </w:tcBorders>
            <w:shd w:val="clear" w:color="auto" w:fill="0080C0"/>
          </w:tcPr>
          <w:p w14:paraId="0E19FE00" w14:textId="7CB8A5FF" w:rsidR="00C0330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r>
      <w:tr w:rsidR="00C03308" w:rsidRPr="001531A8" w14:paraId="113562A6" w14:textId="23D123A9" w:rsidTr="00C03308">
        <w:tc>
          <w:tcPr>
            <w:tcW w:w="1111"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04984EC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r w:rsidRPr="007E18CD">
              <w:rPr>
                <w:rFonts w:asciiTheme="minorHAnsi" w:hAnsiTheme="minorHAnsi" w:cstheme="minorHAnsi"/>
                <w:color w:val="FF0000"/>
                <w:sz w:val="12"/>
                <w:szCs w:val="12"/>
                <w:lang w:eastAsia="en-GB"/>
              </w:rPr>
              <w:t>NPUSCH Format 2 Disabled</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213076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F0EDAF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7F347E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B1AC47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CEF9E4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9831E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C0686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7120E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7818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00E27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FC176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1B1BD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07FB5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14811"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766E65"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5F7B3"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AC7428"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F0EC2F"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A1B61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6D47E3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0FB757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9D68D3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6F3F37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7CFBB1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749A7F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FBE830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AB68A5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hideMark/>
          </w:tcPr>
          <w:p w14:paraId="77E759FE"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1744C4E"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59FF68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4C1304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265B83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358ADB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C0DCF0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8CC0F3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76FA7D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18793B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hideMark/>
          </w:tcPr>
          <w:p w14:paraId="3939AEF0"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4F90B85"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13BE17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41450DF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2951DA0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r>
      <w:tr w:rsidR="00C03308" w:rsidRPr="001531A8" w14:paraId="48DC50E6" w14:textId="4BFEF532" w:rsidTr="00C03308">
        <w:tc>
          <w:tcPr>
            <w:tcW w:w="534" w:type="dxa"/>
            <w:vMerge w:val="restart"/>
            <w:tcBorders>
              <w:top w:val="nil"/>
              <w:left w:val="single" w:sz="8" w:space="0" w:color="auto"/>
              <w:right w:val="single" w:sz="8" w:space="0" w:color="auto"/>
            </w:tcBorders>
            <w:tcMar>
              <w:top w:w="0" w:type="dxa"/>
              <w:left w:w="108" w:type="dxa"/>
              <w:bottom w:w="0" w:type="dxa"/>
              <w:right w:w="108" w:type="dxa"/>
            </w:tcMar>
          </w:tcPr>
          <w:p w14:paraId="48162A55" w14:textId="77777777"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For HARQ Process #0</w:t>
            </w:r>
          </w:p>
        </w:tc>
        <w:tc>
          <w:tcPr>
            <w:tcW w:w="577" w:type="dxa"/>
            <w:tcBorders>
              <w:top w:val="nil"/>
              <w:left w:val="single" w:sz="8" w:space="0" w:color="auto"/>
              <w:bottom w:val="single" w:sz="8" w:space="0" w:color="4472C4"/>
              <w:right w:val="single" w:sz="8" w:space="0" w:color="auto"/>
            </w:tcBorders>
          </w:tcPr>
          <w:p w14:paraId="1562E948" w14:textId="77777777"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E9C1FF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108" w:type="dxa"/>
            <w:gridSpan w:val="4"/>
            <w:tcBorders>
              <w:top w:val="nil"/>
              <w:left w:val="nil"/>
              <w:bottom w:val="single" w:sz="8" w:space="0" w:color="4472C4"/>
              <w:right w:val="single" w:sz="8" w:space="0" w:color="auto"/>
            </w:tcBorders>
            <w:tcMar>
              <w:top w:w="0" w:type="dxa"/>
              <w:left w:w="108" w:type="dxa"/>
              <w:bottom w:w="0" w:type="dxa"/>
              <w:right w:w="108" w:type="dxa"/>
            </w:tcMar>
          </w:tcPr>
          <w:p w14:paraId="1681F72F"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F4740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13317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5D79A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11945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750482"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3AB17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B6EB9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78ACB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87A0EE"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35B53C"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76A96B"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4E59FD"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DF433C"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23263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D7F035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CB12E40"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44825D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EDF913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1D330C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E03A39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CA82C3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AB4AEE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0A63F29"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528" w:type="dxa"/>
            <w:gridSpan w:val="4"/>
            <w:tcBorders>
              <w:top w:val="single" w:sz="8" w:space="0" w:color="auto"/>
              <w:left w:val="nil"/>
              <w:bottom w:val="single" w:sz="8" w:space="0" w:color="auto"/>
              <w:right w:val="single" w:sz="8" w:space="0" w:color="auto"/>
            </w:tcBorders>
            <w:shd w:val="clear" w:color="auto" w:fill="auto"/>
          </w:tcPr>
          <w:p w14:paraId="34D1FC09"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c>
          <w:tcPr>
            <w:tcW w:w="132" w:type="dxa"/>
            <w:tcBorders>
              <w:top w:val="single" w:sz="8" w:space="0" w:color="auto"/>
              <w:left w:val="nil"/>
              <w:bottom w:val="single" w:sz="8" w:space="0" w:color="auto"/>
              <w:right w:val="single" w:sz="8" w:space="0" w:color="auto"/>
            </w:tcBorders>
            <w:shd w:val="clear" w:color="auto" w:fill="auto"/>
          </w:tcPr>
          <w:p w14:paraId="76BEADB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C1B84D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6C44F6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425E7D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D3C3EB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B3F700A"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BB9FCE2"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9274E5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43F5D43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0F115D8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r>
      <w:tr w:rsidR="00C03308" w:rsidRPr="001531A8" w14:paraId="7C4FEA89" w14:textId="5CC28CC9" w:rsidTr="00C03308">
        <w:tc>
          <w:tcPr>
            <w:tcW w:w="534" w:type="dxa"/>
            <w:vMerge/>
            <w:tcBorders>
              <w:left w:val="single" w:sz="8" w:space="0" w:color="auto"/>
              <w:bottom w:val="single" w:sz="8" w:space="0" w:color="4472C4"/>
              <w:right w:val="single" w:sz="8" w:space="0" w:color="auto"/>
            </w:tcBorders>
            <w:tcMar>
              <w:top w:w="0" w:type="dxa"/>
              <w:left w:w="108" w:type="dxa"/>
              <w:bottom w:w="0" w:type="dxa"/>
              <w:right w:w="108" w:type="dxa"/>
            </w:tcMar>
          </w:tcPr>
          <w:p w14:paraId="4718637E" w14:textId="77777777"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0DADADBF" w14:textId="6A04A53E"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r>
              <w:rPr>
                <w:rFonts w:asciiTheme="minorHAnsi" w:hAnsiTheme="minorHAnsi" w:cstheme="minorHAnsi"/>
                <w:sz w:val="12"/>
                <w:szCs w:val="12"/>
                <w:lang w:eastAsia="en-GB"/>
              </w:rPr>
              <w:t>X = 12ms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AEF2B1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455D04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B23037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9499CE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8149F6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353F8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D35F4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FB384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ABD89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A0BA9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22804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A00CB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3C78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DA6F18"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E4B886"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2368" w:type="dxa"/>
            <w:gridSpan w:val="12"/>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387A71F"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12ms</w:t>
            </w:r>
          </w:p>
        </w:tc>
        <w:tc>
          <w:tcPr>
            <w:tcW w:w="132" w:type="dxa"/>
            <w:tcBorders>
              <w:top w:val="single" w:sz="8" w:space="0" w:color="auto"/>
              <w:left w:val="nil"/>
              <w:bottom w:val="single" w:sz="8" w:space="0" w:color="auto"/>
              <w:right w:val="single" w:sz="8" w:space="0" w:color="auto"/>
            </w:tcBorders>
            <w:shd w:val="clear" w:color="auto" w:fill="auto"/>
          </w:tcPr>
          <w:p w14:paraId="1623442E"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1FB4C1C"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0A3BF3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4EC64A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BDEE85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184060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0E7B6A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458370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744177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A45A0E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C3A81E0"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B9564FC"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D5005FE"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4202B11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2E9FD9A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r>
      <w:tr w:rsidR="00C03308" w:rsidRPr="001531A8" w14:paraId="520373A5" w14:textId="320050E0" w:rsidTr="00C03308">
        <w:tc>
          <w:tcPr>
            <w:tcW w:w="534" w:type="dxa"/>
            <w:vMerge w:val="restart"/>
            <w:tcBorders>
              <w:top w:val="nil"/>
              <w:left w:val="single" w:sz="8" w:space="0" w:color="auto"/>
              <w:right w:val="single" w:sz="8" w:space="0" w:color="auto"/>
            </w:tcBorders>
            <w:tcMar>
              <w:top w:w="0" w:type="dxa"/>
              <w:left w:w="108" w:type="dxa"/>
              <w:bottom w:w="0" w:type="dxa"/>
              <w:right w:w="108" w:type="dxa"/>
            </w:tcMar>
          </w:tcPr>
          <w:p w14:paraId="20E5724C" w14:textId="77777777"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For HARQ Process #</w:t>
            </w:r>
            <w:r>
              <w:rPr>
                <w:rFonts w:asciiTheme="minorHAnsi" w:hAnsiTheme="minorHAnsi" w:cstheme="minorHAnsi"/>
                <w:sz w:val="12"/>
                <w:szCs w:val="12"/>
                <w:lang w:eastAsia="en-GB"/>
              </w:rPr>
              <w:t>1</w:t>
            </w:r>
          </w:p>
        </w:tc>
        <w:tc>
          <w:tcPr>
            <w:tcW w:w="577" w:type="dxa"/>
            <w:tcBorders>
              <w:top w:val="nil"/>
              <w:left w:val="single" w:sz="8" w:space="0" w:color="auto"/>
              <w:bottom w:val="single" w:sz="8" w:space="0" w:color="4472C4"/>
              <w:right w:val="single" w:sz="8" w:space="0" w:color="auto"/>
            </w:tcBorders>
          </w:tcPr>
          <w:p w14:paraId="1D5E9013" w14:textId="77777777"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FC9E0C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EC1DF4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E9F999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579" w:type="dxa"/>
            <w:gridSpan w:val="12"/>
            <w:tcBorders>
              <w:top w:val="nil"/>
              <w:left w:val="nil"/>
              <w:bottom w:val="single" w:sz="8" w:space="0" w:color="4472C4"/>
              <w:right w:val="single" w:sz="8" w:space="0" w:color="auto"/>
            </w:tcBorders>
            <w:tcMar>
              <w:top w:w="0" w:type="dxa"/>
              <w:left w:w="108" w:type="dxa"/>
              <w:bottom w:w="0" w:type="dxa"/>
              <w:right w:w="108" w:type="dxa"/>
            </w:tcMar>
          </w:tcPr>
          <w:p w14:paraId="0BD3CD76" w14:textId="77777777" w:rsidR="00C03308" w:rsidRPr="001531A8" w:rsidRDefault="00C03308" w:rsidP="00704657">
            <w:pPr>
              <w:overflowPunct/>
              <w:autoSpaceDE/>
              <w:autoSpaceDN/>
              <w:adjustRightInd/>
              <w:spacing w:after="0"/>
              <w:jc w:val="center"/>
              <w:textAlignment w:val="auto"/>
              <w:rPr>
                <w:rFonts w:asciiTheme="minorHAnsi" w:eastAsia="Times New Roman" w:hAnsiTheme="minorHAnsi" w:cstheme="minorHAnsi"/>
                <w:sz w:val="12"/>
                <w:szCs w:val="12"/>
                <w:lang w:val="sv-SE" w:eastAsia="sv-SE"/>
              </w:rPr>
            </w:pPr>
            <w:r>
              <w:rPr>
                <w:rFonts w:asciiTheme="minorHAnsi" w:eastAsia="Times New Roman" w:hAnsiTheme="minorHAnsi" w:cstheme="minorHAnsi"/>
                <w:sz w:val="12"/>
                <w:szCs w:val="12"/>
                <w:lang w:val="sv-SE" w:eastAsia="sv-SE"/>
              </w:rPr>
              <w:t>12ms</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7DE3A9"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93A24A"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5A6D5"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E0AD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8122B7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C1BA81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C0C44F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DBF4E1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F239A6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3E7374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840CB8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8CBE17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0965925"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2E6A719"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5A54EE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1D2136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33EEB1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FCDFD0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C70619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E5D91B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6ACC0F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C74DF7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AAD9020"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F7F08F2"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787064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7208ADE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512B71E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r>
      <w:tr w:rsidR="00C03308" w:rsidRPr="001531A8" w14:paraId="0DD4F97C" w14:textId="6DA7C287" w:rsidTr="00C03308">
        <w:tc>
          <w:tcPr>
            <w:tcW w:w="534" w:type="dxa"/>
            <w:vMerge/>
            <w:tcBorders>
              <w:left w:val="single" w:sz="8" w:space="0" w:color="auto"/>
              <w:bottom w:val="single" w:sz="8" w:space="0" w:color="4472C4"/>
              <w:right w:val="single" w:sz="8" w:space="0" w:color="auto"/>
            </w:tcBorders>
            <w:tcMar>
              <w:top w:w="0" w:type="dxa"/>
              <w:left w:w="108" w:type="dxa"/>
              <w:bottom w:w="0" w:type="dxa"/>
              <w:right w:w="108" w:type="dxa"/>
            </w:tcMar>
          </w:tcPr>
          <w:p w14:paraId="697851C9" w14:textId="77777777"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47E68BD9" w14:textId="1E70A6AF" w:rsidR="00C03308" w:rsidRPr="007E18CD" w:rsidRDefault="00C03308" w:rsidP="00704657">
            <w:pPr>
              <w:overflowPunct/>
              <w:autoSpaceDE/>
              <w:autoSpaceDN/>
              <w:adjustRightInd/>
              <w:spacing w:after="0"/>
              <w:textAlignment w:val="auto"/>
              <w:rPr>
                <w:rFonts w:asciiTheme="minorHAnsi" w:hAnsiTheme="minorHAnsi" w:cstheme="minorHAnsi"/>
                <w:color w:val="FF0000"/>
                <w:sz w:val="12"/>
                <w:szCs w:val="12"/>
                <w:lang w:eastAsia="en-GB"/>
              </w:rPr>
            </w:pPr>
            <w:r>
              <w:rPr>
                <w:rFonts w:asciiTheme="minorHAnsi" w:hAnsiTheme="minorHAnsi" w:cstheme="minorHAnsi"/>
                <w:sz w:val="12"/>
                <w:szCs w:val="12"/>
                <w:lang w:eastAsia="en-GB"/>
              </w:rPr>
              <w:t>X = 12ms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28FD90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385A92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9B7EFB4"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073836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A84533F"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7A491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53C45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FF92C"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26F65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C5038D"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262EE9"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E26FB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E3CB5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FCB3FB"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9162D3"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890CCD"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CC747" w14:textId="77777777" w:rsidR="00C03308" w:rsidRPr="001531A8" w:rsidRDefault="00C03308"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35A81D" w14:textId="77777777" w:rsidR="00C03308" w:rsidRPr="001531A8" w:rsidRDefault="00C03308"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F38A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CAD2985"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A1EBEC3"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8892AD1"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13C3DA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F165CE7"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7F6E1F6"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584" w:type="dxa"/>
            <w:gridSpan w:val="12"/>
            <w:tcBorders>
              <w:top w:val="single" w:sz="8" w:space="0" w:color="auto"/>
              <w:left w:val="nil"/>
              <w:bottom w:val="single" w:sz="8" w:space="0" w:color="auto"/>
              <w:right w:val="single" w:sz="8" w:space="0" w:color="auto"/>
            </w:tcBorders>
            <w:shd w:val="clear" w:color="auto" w:fill="FF0000"/>
          </w:tcPr>
          <w:p w14:paraId="45475E41"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12ms</w:t>
            </w:r>
          </w:p>
        </w:tc>
        <w:tc>
          <w:tcPr>
            <w:tcW w:w="132" w:type="dxa"/>
            <w:tcBorders>
              <w:top w:val="single" w:sz="8" w:space="0" w:color="auto"/>
              <w:left w:val="nil"/>
              <w:bottom w:val="single" w:sz="8" w:space="0" w:color="auto"/>
              <w:right w:val="single" w:sz="8" w:space="0" w:color="auto"/>
            </w:tcBorders>
            <w:shd w:val="clear" w:color="auto" w:fill="auto"/>
          </w:tcPr>
          <w:p w14:paraId="5DF7ACD1"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1ADB987" w14:textId="77777777" w:rsidR="00C03308" w:rsidRPr="001531A8" w:rsidRDefault="00C03308"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0B31D3B"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727501DA"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57DEB5D8" w14:textId="77777777" w:rsidR="00C03308" w:rsidRPr="001531A8" w:rsidRDefault="00C03308" w:rsidP="00704657">
            <w:pPr>
              <w:overflowPunct/>
              <w:autoSpaceDE/>
              <w:autoSpaceDN/>
              <w:adjustRightInd/>
              <w:spacing w:after="0"/>
              <w:textAlignment w:val="auto"/>
              <w:rPr>
                <w:rFonts w:asciiTheme="minorHAnsi" w:hAnsiTheme="minorHAnsi" w:cstheme="minorHAnsi"/>
                <w:sz w:val="12"/>
                <w:szCs w:val="12"/>
                <w:lang w:eastAsia="en-GB"/>
              </w:rPr>
            </w:pPr>
          </w:p>
        </w:tc>
      </w:tr>
    </w:tbl>
    <w:p w14:paraId="07C69995" w14:textId="77777777" w:rsidR="00F36862" w:rsidRPr="001531A8" w:rsidRDefault="00F36862" w:rsidP="00F36862">
      <w:pPr>
        <w:overflowPunct/>
        <w:autoSpaceDE/>
        <w:autoSpaceDN/>
        <w:adjustRightInd/>
        <w:spacing w:after="0"/>
        <w:ind w:left="2608"/>
        <w:textAlignment w:val="auto"/>
        <w:rPr>
          <w:rFonts w:ascii="Calibri" w:eastAsia="Calibri" w:hAnsi="Calibri" w:cs="Calibri"/>
          <w:sz w:val="22"/>
          <w:szCs w:val="22"/>
          <w:lang w:val="en-US" w:eastAsia="en-US"/>
        </w:rPr>
      </w:pPr>
    </w:p>
    <w:p w14:paraId="68FE9509" w14:textId="7C611588" w:rsidR="00F36862" w:rsidRPr="00462CF3" w:rsidRDefault="00F36862" w:rsidP="00F36862">
      <w:pPr>
        <w:pStyle w:val="Observation"/>
        <w:ind w:left="1701" w:hanging="1701"/>
      </w:pPr>
      <w:bookmarkStart w:id="13" w:name="_Toc115380685"/>
      <w:r>
        <w:t xml:space="preserve">When there are two HARQ processes in use, the disabling approach as per “Option 1” </w:t>
      </w:r>
      <w:r w:rsidR="00CC287E">
        <w:t>sets the starting poin</w:t>
      </w:r>
      <w:r w:rsidR="00053982">
        <w:t xml:space="preserve">t </w:t>
      </w:r>
      <w:r w:rsidR="00507274">
        <w:t xml:space="preserve">(according with 12ms) </w:t>
      </w:r>
      <w:r w:rsidR="00CC287E">
        <w:t xml:space="preserve">for the subsequent transmission of the first HARQ </w:t>
      </w:r>
      <w:r w:rsidR="00053982">
        <w:t>processes but</w:t>
      </w:r>
      <w:r w:rsidR="00CC287E">
        <w:t xml:space="preserve"> </w:t>
      </w:r>
      <w:r>
        <w:t xml:space="preserve">puts an unnecessary restriction on the </w:t>
      </w:r>
      <w:r w:rsidR="00537DB1">
        <w:t xml:space="preserve">subsequent scheduling of the </w:t>
      </w:r>
      <w:r>
        <w:t>second HARQ process.</w:t>
      </w:r>
      <w:bookmarkEnd w:id="13"/>
    </w:p>
    <w:p w14:paraId="09A8650C" w14:textId="216611DF" w:rsidR="00F36862" w:rsidRDefault="00F36862" w:rsidP="00F36862">
      <w:pPr>
        <w:pStyle w:val="Heading3"/>
      </w:pPr>
      <w:r>
        <w:t>3.</w:t>
      </w:r>
      <w:r w:rsidR="00037E3A">
        <w:t>1</w:t>
      </w:r>
      <w:r>
        <w:t>.2 Disabling approach according with Option 2.</w:t>
      </w:r>
    </w:p>
    <w:p w14:paraId="1C392A9E" w14:textId="77777777" w:rsidR="00F36862" w:rsidRDefault="00F36862" w:rsidP="00F36862">
      <w:pPr>
        <w:jc w:val="both"/>
      </w:pPr>
      <w:r>
        <w:t>Option 2 states:</w:t>
      </w:r>
    </w:p>
    <w:tbl>
      <w:tblPr>
        <w:tblStyle w:val="TableGrid"/>
        <w:tblW w:w="0" w:type="auto"/>
        <w:tblLook w:val="04A0" w:firstRow="1" w:lastRow="0" w:firstColumn="1" w:lastColumn="0" w:noHBand="0" w:noVBand="1"/>
      </w:tblPr>
      <w:tblGrid>
        <w:gridCol w:w="9629"/>
      </w:tblGrid>
      <w:tr w:rsidR="00F36862" w14:paraId="48165EF3" w14:textId="77777777" w:rsidTr="00704657">
        <w:tc>
          <w:tcPr>
            <w:tcW w:w="9629" w:type="dxa"/>
          </w:tcPr>
          <w:p w14:paraId="5824BE26" w14:textId="77777777" w:rsidR="00F36862" w:rsidRPr="00632C88" w:rsidRDefault="00F36862" w:rsidP="00B213B9">
            <w:pPr>
              <w:numPr>
                <w:ilvl w:val="0"/>
                <w:numId w:val="24"/>
              </w:numPr>
              <w:overflowPunct/>
              <w:autoSpaceDE/>
              <w:autoSpaceDN/>
              <w:adjustRightInd/>
              <w:spacing w:after="0"/>
              <w:textAlignment w:val="auto"/>
              <w:rPr>
                <w:sz w:val="16"/>
                <w:szCs w:val="16"/>
                <w:lang w:val="en-US" w:eastAsia="x-none"/>
              </w:rPr>
            </w:pPr>
            <w:r w:rsidRPr="00632C88">
              <w:rPr>
                <w:sz w:val="16"/>
                <w:szCs w:val="16"/>
                <w:lang w:val="en-US" w:eastAsia="x-none"/>
              </w:rPr>
              <w:t>Option 2: UE is not required to monitor NPDCCH in a period of Y(ms) from the end of reception of the last NPDSCH</w:t>
            </w:r>
          </w:p>
          <w:p w14:paraId="149F8DFA" w14:textId="77777777" w:rsidR="00F36862" w:rsidRPr="00873D4D" w:rsidRDefault="00F36862" w:rsidP="00B213B9">
            <w:pPr>
              <w:numPr>
                <w:ilvl w:val="1"/>
                <w:numId w:val="24"/>
              </w:numPr>
              <w:overflowPunct/>
              <w:autoSpaceDE/>
              <w:autoSpaceDN/>
              <w:adjustRightInd/>
              <w:spacing w:after="0"/>
              <w:textAlignment w:val="auto"/>
              <w:rPr>
                <w:sz w:val="16"/>
                <w:szCs w:val="16"/>
                <w:lang w:val="en-US" w:eastAsia="x-none"/>
              </w:rPr>
            </w:pPr>
            <w:r w:rsidRPr="00632C88">
              <w:rPr>
                <w:sz w:val="16"/>
                <w:szCs w:val="16"/>
                <w:lang w:val="en-US" w:eastAsia="x-none"/>
              </w:rPr>
              <w:t>Y=12</w:t>
            </w:r>
          </w:p>
        </w:tc>
      </w:tr>
    </w:tbl>
    <w:p w14:paraId="1D4573C9" w14:textId="77777777" w:rsidR="00F36862" w:rsidRDefault="00F36862" w:rsidP="00F36862"/>
    <w:p w14:paraId="0C77A1E4" w14:textId="13D75FF2" w:rsidR="00F36862" w:rsidRDefault="00F36862" w:rsidP="00F36862">
      <w:pPr>
        <w:jc w:val="both"/>
      </w:pPr>
      <w:r>
        <w:t>In a</w:t>
      </w:r>
      <w:r w:rsidR="002B0094">
        <w:t>n</w:t>
      </w:r>
      <w:r>
        <w:t xml:space="preserve"> NB-IoT scenario with two HARQ processes</w:t>
      </w:r>
      <w:r w:rsidR="003C1FA5">
        <w:t xml:space="preserve"> (both with HARQ feedback disabled)</w:t>
      </w:r>
      <w:r>
        <w:t xml:space="preserve">, “Option 2” in the diagram below means that the subsequent transmission of “HARQ process#0” can occur earliest at subframe# </w:t>
      </w:r>
      <w:r w:rsidR="00F91181">
        <w:rPr>
          <w:highlight w:val="yellow"/>
        </w:rPr>
        <w:t>3</w:t>
      </w:r>
      <w:r w:rsidRPr="00873D4D">
        <w:rPr>
          <w:highlight w:val="yellow"/>
        </w:rPr>
        <w:t>7</w:t>
      </w:r>
      <w:r>
        <w:t xml:space="preserve"> and leaves up to </w:t>
      </w:r>
      <w:r w:rsidR="00715F7F">
        <w:t xml:space="preserve">the </w:t>
      </w:r>
      <w:r>
        <w:t xml:space="preserve">eNodeB scheduling afterwards the subsequent transmission of “HARQ process#1”, which following the timing relationship of the initial transmission can occur at subframe# </w:t>
      </w:r>
      <w:r w:rsidR="00F91181">
        <w:rPr>
          <w:highlight w:val="red"/>
        </w:rPr>
        <w:t>3</w:t>
      </w:r>
      <w:r w:rsidRPr="00081230">
        <w:rPr>
          <w:highlight w:val="red"/>
        </w:rPr>
        <w:t>9</w:t>
      </w:r>
      <w:r>
        <w:t>.</w:t>
      </w:r>
    </w:p>
    <w:p w14:paraId="648A6052" w14:textId="592C8693" w:rsidR="00F36862" w:rsidRDefault="00F36862" w:rsidP="00F36862">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sidR="003C1FA5">
        <w:rPr>
          <w:rFonts w:ascii="Times New Roman" w:hAnsi="Times New Roman"/>
          <w:sz w:val="16"/>
          <w:szCs w:val="16"/>
          <w:lang w:eastAsia="ja-JP"/>
        </w:rPr>
        <w:t>3B</w:t>
      </w:r>
      <w:r w:rsidRPr="00A87D48">
        <w:rPr>
          <w:rFonts w:ascii="Times New Roman" w:hAnsi="Times New Roman"/>
          <w:sz w:val="16"/>
          <w:szCs w:val="16"/>
          <w:lang w:eastAsia="ja-JP"/>
        </w:rPr>
        <w:t xml:space="preserve">: </w:t>
      </w:r>
      <w:r w:rsidR="00C95E7A">
        <w:rPr>
          <w:rFonts w:ascii="Times New Roman" w:hAnsi="Times New Roman"/>
          <w:sz w:val="16"/>
          <w:szCs w:val="16"/>
          <w:lang w:eastAsia="ja-JP"/>
        </w:rPr>
        <w:t>“Option 2”</w:t>
      </w:r>
      <w:r w:rsidRPr="006A54A2">
        <w:rPr>
          <w:rFonts w:ascii="Times New Roman" w:hAnsi="Times New Roman"/>
          <w:sz w:val="16"/>
          <w:szCs w:val="16"/>
          <w:lang w:eastAsia="ja-JP"/>
        </w:rPr>
        <w:t xml:space="preserve"> using two HARQ</w:t>
      </w:r>
      <w:r>
        <w:rPr>
          <w:rFonts w:ascii="Times New Roman" w:hAnsi="Times New Roman"/>
          <w:sz w:val="16"/>
          <w:szCs w:val="16"/>
          <w:lang w:eastAsia="ja-JP"/>
        </w:rPr>
        <w:t xml:space="preserve"> processes</w:t>
      </w:r>
      <w:r w:rsidRPr="006A54A2">
        <w:rPr>
          <w:rFonts w:ascii="Times New Roman" w:hAnsi="Times New Roman"/>
          <w:sz w:val="16"/>
          <w:szCs w:val="16"/>
          <w:lang w:eastAsia="ja-JP"/>
        </w:rPr>
        <w:t xml:space="preserve"> for </w:t>
      </w:r>
      <w:r>
        <w:rPr>
          <w:rFonts w:ascii="Times New Roman" w:hAnsi="Times New Roman"/>
          <w:sz w:val="16"/>
          <w:szCs w:val="16"/>
          <w:lang w:eastAsia="ja-JP"/>
        </w:rPr>
        <w:t xml:space="preserve">a </w:t>
      </w:r>
      <w:r w:rsidRPr="006A54A2">
        <w:rPr>
          <w:rFonts w:ascii="Times New Roman" w:hAnsi="Times New Roman"/>
          <w:sz w:val="16"/>
          <w:szCs w:val="16"/>
          <w:lang w:eastAsia="ja-JP"/>
        </w:rPr>
        <w:t>Cat-NB2 UE</w:t>
      </w:r>
      <w:r w:rsidRPr="00A87D48">
        <w:rPr>
          <w:rFonts w:ascii="Times New Roman" w:hAnsi="Times New Roman"/>
          <w:sz w:val="16"/>
          <w:szCs w:val="16"/>
          <w:lang w:eastAsia="ja-JP"/>
        </w:rPr>
        <w:t>.</w:t>
      </w:r>
    </w:p>
    <w:tbl>
      <w:tblPr>
        <w:tblW w:w="9869" w:type="dxa"/>
        <w:tblInd w:w="-118" w:type="dxa"/>
        <w:tblLayout w:type="fixed"/>
        <w:tblCellMar>
          <w:left w:w="0" w:type="dxa"/>
          <w:right w:w="0" w:type="dxa"/>
        </w:tblCellMar>
        <w:tblLook w:val="04A0" w:firstRow="1" w:lastRow="0" w:firstColumn="1" w:lastColumn="0" w:noHBand="0" w:noVBand="1"/>
      </w:tblPr>
      <w:tblGrid>
        <w:gridCol w:w="534"/>
        <w:gridCol w:w="577"/>
        <w:gridCol w:w="277"/>
        <w:gridCol w:w="277"/>
        <w:gridCol w:w="277"/>
        <w:gridCol w:w="277"/>
        <w:gridCol w:w="277"/>
        <w:gridCol w:w="277"/>
        <w:gridCol w:w="277"/>
        <w:gridCol w:w="277"/>
        <w:gridCol w:w="277"/>
        <w:gridCol w:w="277"/>
        <w:gridCol w:w="328"/>
        <w:gridCol w:w="328"/>
        <w:gridCol w:w="328"/>
        <w:gridCol w:w="328"/>
        <w:gridCol w:w="328"/>
        <w:gridCol w:w="328"/>
        <w:gridCol w:w="328"/>
        <w:gridCol w:w="328"/>
        <w:gridCol w:w="328"/>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tblGrid>
      <w:tr w:rsidR="00C043D2" w:rsidRPr="001531A8" w14:paraId="667990B0" w14:textId="77777777" w:rsidTr="00704657">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ABEF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Earliest DL Reception of the subsequent HARQ Process as per “Option 2”</w:t>
            </w:r>
          </w:p>
        </w:tc>
        <w:tc>
          <w:tcPr>
            <w:tcW w:w="277" w:type="dxa"/>
            <w:tcBorders>
              <w:top w:val="single" w:sz="8" w:space="0" w:color="auto"/>
              <w:left w:val="nil"/>
              <w:right w:val="single" w:sz="8" w:space="0" w:color="auto"/>
            </w:tcBorders>
            <w:tcMar>
              <w:top w:w="0" w:type="dxa"/>
              <w:left w:w="108" w:type="dxa"/>
              <w:bottom w:w="0" w:type="dxa"/>
              <w:right w:w="108" w:type="dxa"/>
            </w:tcMar>
          </w:tcPr>
          <w:p w14:paraId="47EBA97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D147D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BE0ED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4C6B7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32C1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7E435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EB5A0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E948B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9822B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79DA0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AEBDF9"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BADB7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822E3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32A5A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08E22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A16F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AFF63E"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8693A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BFD9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C9C1DA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C29CE41"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ADA7DD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B1B50A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1F176D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7684EE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7A89E8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AD5B4D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387B79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89AA54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FC42A1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3900AF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800EE8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6CAD01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D9DB42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61640E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EC47884"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2504C4D"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FF00"/>
          </w:tcPr>
          <w:p w14:paraId="4D8BF279"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0CE1F742"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53D756A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0723F69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0000"/>
          </w:tcPr>
          <w:p w14:paraId="09B717D5"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501A0338"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10FA6811"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71771D2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1A65E3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r>
      <w:tr w:rsidR="00C043D2" w:rsidRPr="001531A8" w14:paraId="35E99446" w14:textId="77777777" w:rsidTr="00704657">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B0A3E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val="sv-SE" w:eastAsia="en-GB"/>
              </w:rPr>
            </w:pPr>
            <w:r w:rsidRPr="001531A8">
              <w:rPr>
                <w:rFonts w:asciiTheme="minorHAnsi" w:hAnsiTheme="minorHAnsi" w:cstheme="minorHAnsi"/>
                <w:sz w:val="12"/>
                <w:szCs w:val="12"/>
                <w:lang w:eastAsia="en-GB"/>
              </w:rPr>
              <w:t>Subrame#</w:t>
            </w:r>
          </w:p>
        </w:tc>
        <w:tc>
          <w:tcPr>
            <w:tcW w:w="277" w:type="dxa"/>
            <w:tcBorders>
              <w:top w:val="single" w:sz="8" w:space="0" w:color="auto"/>
              <w:left w:val="nil"/>
              <w:right w:val="single" w:sz="8" w:space="0" w:color="auto"/>
            </w:tcBorders>
            <w:tcMar>
              <w:top w:w="0" w:type="dxa"/>
              <w:left w:w="108" w:type="dxa"/>
              <w:bottom w:w="0" w:type="dxa"/>
              <w:right w:w="108" w:type="dxa"/>
            </w:tcMar>
            <w:hideMark/>
          </w:tcPr>
          <w:p w14:paraId="738DA74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7CD2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7049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2845D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0BFE1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F2F3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324A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2D69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E4AB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5711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9</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FC5E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10</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7631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11</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14A1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12</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41AF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13</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A471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14</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56E3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15</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2AE7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16</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BEDA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17</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BA465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18</w:t>
            </w:r>
          </w:p>
        </w:tc>
        <w:tc>
          <w:tcPr>
            <w:tcW w:w="132" w:type="dxa"/>
            <w:tcBorders>
              <w:top w:val="single" w:sz="8" w:space="0" w:color="auto"/>
              <w:left w:val="nil"/>
              <w:bottom w:val="single" w:sz="8" w:space="0" w:color="auto"/>
              <w:right w:val="single" w:sz="8" w:space="0" w:color="auto"/>
            </w:tcBorders>
            <w:hideMark/>
          </w:tcPr>
          <w:p w14:paraId="5829436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19</w:t>
            </w:r>
          </w:p>
        </w:tc>
        <w:tc>
          <w:tcPr>
            <w:tcW w:w="132" w:type="dxa"/>
            <w:tcBorders>
              <w:top w:val="single" w:sz="8" w:space="0" w:color="auto"/>
              <w:left w:val="nil"/>
              <w:bottom w:val="single" w:sz="8" w:space="0" w:color="auto"/>
              <w:right w:val="single" w:sz="8" w:space="0" w:color="auto"/>
            </w:tcBorders>
            <w:hideMark/>
          </w:tcPr>
          <w:p w14:paraId="420CCC4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20</w:t>
            </w:r>
          </w:p>
        </w:tc>
        <w:tc>
          <w:tcPr>
            <w:tcW w:w="132" w:type="dxa"/>
            <w:tcBorders>
              <w:top w:val="single" w:sz="8" w:space="0" w:color="auto"/>
              <w:left w:val="nil"/>
              <w:bottom w:val="single" w:sz="8" w:space="0" w:color="auto"/>
              <w:right w:val="single" w:sz="8" w:space="0" w:color="auto"/>
            </w:tcBorders>
            <w:hideMark/>
          </w:tcPr>
          <w:p w14:paraId="00054FD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21</w:t>
            </w:r>
          </w:p>
        </w:tc>
        <w:tc>
          <w:tcPr>
            <w:tcW w:w="132" w:type="dxa"/>
            <w:tcBorders>
              <w:top w:val="single" w:sz="8" w:space="0" w:color="auto"/>
              <w:left w:val="nil"/>
              <w:bottom w:val="single" w:sz="8" w:space="0" w:color="auto"/>
              <w:right w:val="single" w:sz="8" w:space="0" w:color="auto"/>
            </w:tcBorders>
            <w:hideMark/>
          </w:tcPr>
          <w:p w14:paraId="66D44CE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22</w:t>
            </w:r>
          </w:p>
        </w:tc>
        <w:tc>
          <w:tcPr>
            <w:tcW w:w="132" w:type="dxa"/>
            <w:tcBorders>
              <w:top w:val="single" w:sz="8" w:space="0" w:color="auto"/>
              <w:left w:val="nil"/>
              <w:bottom w:val="single" w:sz="8" w:space="0" w:color="auto"/>
              <w:right w:val="single" w:sz="8" w:space="0" w:color="auto"/>
            </w:tcBorders>
            <w:hideMark/>
          </w:tcPr>
          <w:p w14:paraId="799758C4"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23</w:t>
            </w:r>
          </w:p>
        </w:tc>
        <w:tc>
          <w:tcPr>
            <w:tcW w:w="132" w:type="dxa"/>
            <w:tcBorders>
              <w:top w:val="single" w:sz="8" w:space="0" w:color="auto"/>
              <w:left w:val="nil"/>
              <w:bottom w:val="single" w:sz="8" w:space="0" w:color="auto"/>
              <w:right w:val="single" w:sz="8" w:space="0" w:color="auto"/>
            </w:tcBorders>
            <w:hideMark/>
          </w:tcPr>
          <w:p w14:paraId="3E3541E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24</w:t>
            </w:r>
          </w:p>
        </w:tc>
        <w:tc>
          <w:tcPr>
            <w:tcW w:w="132" w:type="dxa"/>
            <w:tcBorders>
              <w:top w:val="single" w:sz="8" w:space="0" w:color="auto"/>
              <w:left w:val="nil"/>
              <w:bottom w:val="single" w:sz="8" w:space="0" w:color="auto"/>
              <w:right w:val="single" w:sz="8" w:space="0" w:color="auto"/>
            </w:tcBorders>
            <w:hideMark/>
          </w:tcPr>
          <w:p w14:paraId="1C2E079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25</w:t>
            </w:r>
          </w:p>
        </w:tc>
        <w:tc>
          <w:tcPr>
            <w:tcW w:w="132" w:type="dxa"/>
            <w:tcBorders>
              <w:top w:val="single" w:sz="8" w:space="0" w:color="auto"/>
              <w:left w:val="nil"/>
              <w:bottom w:val="single" w:sz="8" w:space="0" w:color="auto"/>
              <w:right w:val="single" w:sz="8" w:space="0" w:color="auto"/>
            </w:tcBorders>
            <w:hideMark/>
          </w:tcPr>
          <w:p w14:paraId="2CE53EE9"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26</w:t>
            </w:r>
          </w:p>
        </w:tc>
        <w:tc>
          <w:tcPr>
            <w:tcW w:w="132" w:type="dxa"/>
            <w:tcBorders>
              <w:top w:val="single" w:sz="8" w:space="0" w:color="auto"/>
              <w:left w:val="nil"/>
              <w:bottom w:val="single" w:sz="8" w:space="0" w:color="auto"/>
              <w:right w:val="single" w:sz="8" w:space="0" w:color="auto"/>
            </w:tcBorders>
            <w:hideMark/>
          </w:tcPr>
          <w:p w14:paraId="71AB466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27</w:t>
            </w:r>
          </w:p>
        </w:tc>
        <w:tc>
          <w:tcPr>
            <w:tcW w:w="132" w:type="dxa"/>
            <w:tcBorders>
              <w:top w:val="single" w:sz="8" w:space="0" w:color="auto"/>
              <w:left w:val="nil"/>
              <w:bottom w:val="single" w:sz="8" w:space="0" w:color="auto"/>
              <w:right w:val="single" w:sz="8" w:space="0" w:color="auto"/>
            </w:tcBorders>
            <w:hideMark/>
          </w:tcPr>
          <w:p w14:paraId="52BA0FB4"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28</w:t>
            </w:r>
          </w:p>
        </w:tc>
        <w:tc>
          <w:tcPr>
            <w:tcW w:w="132" w:type="dxa"/>
            <w:tcBorders>
              <w:top w:val="single" w:sz="8" w:space="0" w:color="auto"/>
              <w:left w:val="nil"/>
              <w:bottom w:val="single" w:sz="8" w:space="0" w:color="auto"/>
              <w:right w:val="single" w:sz="8" w:space="0" w:color="auto"/>
            </w:tcBorders>
            <w:hideMark/>
          </w:tcPr>
          <w:p w14:paraId="46F93E2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29</w:t>
            </w:r>
          </w:p>
        </w:tc>
        <w:tc>
          <w:tcPr>
            <w:tcW w:w="132" w:type="dxa"/>
            <w:tcBorders>
              <w:top w:val="single" w:sz="8" w:space="0" w:color="auto"/>
              <w:left w:val="nil"/>
              <w:bottom w:val="single" w:sz="8" w:space="0" w:color="auto"/>
              <w:right w:val="single" w:sz="8" w:space="0" w:color="auto"/>
            </w:tcBorders>
            <w:hideMark/>
          </w:tcPr>
          <w:p w14:paraId="62D1A51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30</w:t>
            </w:r>
          </w:p>
        </w:tc>
        <w:tc>
          <w:tcPr>
            <w:tcW w:w="132" w:type="dxa"/>
            <w:tcBorders>
              <w:top w:val="single" w:sz="8" w:space="0" w:color="auto"/>
              <w:left w:val="nil"/>
              <w:bottom w:val="single" w:sz="8" w:space="0" w:color="auto"/>
              <w:right w:val="single" w:sz="8" w:space="0" w:color="auto"/>
            </w:tcBorders>
            <w:hideMark/>
          </w:tcPr>
          <w:p w14:paraId="1FB6940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31</w:t>
            </w:r>
          </w:p>
        </w:tc>
        <w:tc>
          <w:tcPr>
            <w:tcW w:w="132" w:type="dxa"/>
            <w:tcBorders>
              <w:top w:val="single" w:sz="8" w:space="0" w:color="auto"/>
              <w:left w:val="nil"/>
              <w:bottom w:val="single" w:sz="8" w:space="0" w:color="auto"/>
              <w:right w:val="single" w:sz="8" w:space="0" w:color="auto"/>
            </w:tcBorders>
            <w:hideMark/>
          </w:tcPr>
          <w:p w14:paraId="3A58DCD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32</w:t>
            </w:r>
          </w:p>
        </w:tc>
        <w:tc>
          <w:tcPr>
            <w:tcW w:w="132" w:type="dxa"/>
            <w:tcBorders>
              <w:top w:val="single" w:sz="8" w:space="0" w:color="auto"/>
              <w:left w:val="nil"/>
              <w:bottom w:val="single" w:sz="8" w:space="0" w:color="auto"/>
              <w:right w:val="single" w:sz="8" w:space="0" w:color="auto"/>
            </w:tcBorders>
            <w:hideMark/>
          </w:tcPr>
          <w:p w14:paraId="7E1D860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33</w:t>
            </w:r>
          </w:p>
        </w:tc>
        <w:tc>
          <w:tcPr>
            <w:tcW w:w="132" w:type="dxa"/>
            <w:tcBorders>
              <w:top w:val="single" w:sz="8" w:space="0" w:color="auto"/>
              <w:left w:val="nil"/>
              <w:bottom w:val="single" w:sz="8" w:space="0" w:color="auto"/>
              <w:right w:val="single" w:sz="8" w:space="0" w:color="auto"/>
            </w:tcBorders>
            <w:hideMark/>
          </w:tcPr>
          <w:p w14:paraId="4DAB13B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34</w:t>
            </w:r>
          </w:p>
        </w:tc>
        <w:tc>
          <w:tcPr>
            <w:tcW w:w="132" w:type="dxa"/>
            <w:tcBorders>
              <w:top w:val="single" w:sz="8" w:space="0" w:color="auto"/>
              <w:left w:val="nil"/>
              <w:bottom w:val="single" w:sz="8" w:space="0" w:color="auto"/>
              <w:right w:val="single" w:sz="8" w:space="0" w:color="auto"/>
            </w:tcBorders>
            <w:hideMark/>
          </w:tcPr>
          <w:p w14:paraId="3720C37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35</w:t>
            </w:r>
          </w:p>
        </w:tc>
        <w:tc>
          <w:tcPr>
            <w:tcW w:w="132" w:type="dxa"/>
            <w:tcBorders>
              <w:top w:val="single" w:sz="8" w:space="0" w:color="auto"/>
              <w:left w:val="nil"/>
              <w:bottom w:val="single" w:sz="8" w:space="0" w:color="auto"/>
              <w:right w:val="single" w:sz="8" w:space="0" w:color="auto"/>
            </w:tcBorders>
            <w:hideMark/>
          </w:tcPr>
          <w:p w14:paraId="7EF7F14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36</w:t>
            </w:r>
          </w:p>
        </w:tc>
        <w:tc>
          <w:tcPr>
            <w:tcW w:w="132" w:type="dxa"/>
            <w:tcBorders>
              <w:top w:val="single" w:sz="8" w:space="0" w:color="auto"/>
              <w:left w:val="nil"/>
              <w:bottom w:val="single" w:sz="8" w:space="0" w:color="auto"/>
              <w:right w:val="single" w:sz="8" w:space="0" w:color="auto"/>
            </w:tcBorders>
            <w:hideMark/>
          </w:tcPr>
          <w:p w14:paraId="08F0992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37</w:t>
            </w:r>
          </w:p>
        </w:tc>
        <w:tc>
          <w:tcPr>
            <w:tcW w:w="132" w:type="dxa"/>
            <w:tcBorders>
              <w:top w:val="single" w:sz="8" w:space="0" w:color="auto"/>
              <w:left w:val="nil"/>
              <w:bottom w:val="single" w:sz="8" w:space="0" w:color="auto"/>
              <w:right w:val="single" w:sz="8" w:space="0" w:color="auto"/>
            </w:tcBorders>
            <w:hideMark/>
          </w:tcPr>
          <w:p w14:paraId="113004A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38</w:t>
            </w:r>
          </w:p>
        </w:tc>
        <w:tc>
          <w:tcPr>
            <w:tcW w:w="132" w:type="dxa"/>
            <w:tcBorders>
              <w:top w:val="single" w:sz="8" w:space="0" w:color="auto"/>
              <w:left w:val="nil"/>
              <w:bottom w:val="single" w:sz="8" w:space="0" w:color="auto"/>
              <w:right w:val="single" w:sz="8" w:space="0" w:color="auto"/>
            </w:tcBorders>
            <w:hideMark/>
          </w:tcPr>
          <w:p w14:paraId="7A2E1BF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39</w:t>
            </w:r>
          </w:p>
        </w:tc>
        <w:tc>
          <w:tcPr>
            <w:tcW w:w="132" w:type="dxa"/>
            <w:tcBorders>
              <w:top w:val="single" w:sz="8" w:space="0" w:color="auto"/>
              <w:left w:val="nil"/>
              <w:bottom w:val="single" w:sz="8" w:space="0" w:color="auto"/>
              <w:right w:val="single" w:sz="8" w:space="0" w:color="auto"/>
            </w:tcBorders>
            <w:hideMark/>
          </w:tcPr>
          <w:p w14:paraId="55F44C51"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40</w:t>
            </w:r>
          </w:p>
        </w:tc>
        <w:tc>
          <w:tcPr>
            <w:tcW w:w="132" w:type="dxa"/>
            <w:tcBorders>
              <w:top w:val="single" w:sz="8" w:space="0" w:color="auto"/>
              <w:left w:val="nil"/>
              <w:bottom w:val="single" w:sz="8" w:space="0" w:color="auto"/>
              <w:right w:val="single" w:sz="8" w:space="0" w:color="auto"/>
            </w:tcBorders>
          </w:tcPr>
          <w:p w14:paraId="18209B11"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r>
      <w:tr w:rsidR="00C043D2" w:rsidRPr="001531A8" w14:paraId="51CC42C9" w14:textId="77777777" w:rsidTr="00704657">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A04A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NPDCCH</w:t>
            </w:r>
          </w:p>
        </w:tc>
        <w:tc>
          <w:tcPr>
            <w:tcW w:w="277" w:type="dxa"/>
            <w:tcBorders>
              <w:top w:val="nil"/>
              <w:left w:val="nil"/>
              <w:bottom w:val="single" w:sz="8" w:space="0" w:color="4472C4"/>
              <w:right w:val="single" w:sz="8" w:space="0" w:color="auto"/>
            </w:tcBorders>
            <w:shd w:val="clear" w:color="auto" w:fill="5B9BD5" w:themeFill="accent5"/>
            <w:tcMar>
              <w:top w:w="0" w:type="dxa"/>
              <w:left w:w="108" w:type="dxa"/>
              <w:bottom w:w="0" w:type="dxa"/>
              <w:right w:w="108" w:type="dxa"/>
            </w:tcMar>
            <w:hideMark/>
          </w:tcPr>
          <w:p w14:paraId="18C0DEC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A2FFC1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5DE60EB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DCF439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360F22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6936135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A90B65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CB0EBB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A50CFB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93C498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8DEDCC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8C7778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5740942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6381C6B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04B1F73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A658F1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652F08D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5874309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7C79326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08F649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812161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8E592F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A450E0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638617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BFFBEC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D480E5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05A5B3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5696D3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88FF87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63B3E5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9D2DB3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931418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1AC6CE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EDAB9F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81D806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ED43F3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F892F1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0080C0"/>
          </w:tcPr>
          <w:p w14:paraId="3CE05B9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32" w:type="dxa"/>
            <w:tcBorders>
              <w:top w:val="nil"/>
              <w:left w:val="nil"/>
              <w:bottom w:val="single" w:sz="8" w:space="0" w:color="auto"/>
              <w:right w:val="single" w:sz="8" w:space="0" w:color="auto"/>
            </w:tcBorders>
          </w:tcPr>
          <w:p w14:paraId="0626D90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FFD966" w:themeFill="accent4" w:themeFillTint="99"/>
          </w:tcPr>
          <w:p w14:paraId="1B615A6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32" w:type="dxa"/>
            <w:tcBorders>
              <w:top w:val="nil"/>
              <w:left w:val="nil"/>
              <w:bottom w:val="single" w:sz="8" w:space="0" w:color="auto"/>
              <w:right w:val="single" w:sz="8" w:space="0" w:color="auto"/>
            </w:tcBorders>
            <w:hideMark/>
          </w:tcPr>
          <w:p w14:paraId="00D51DD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AE6C2C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r>
      <w:tr w:rsidR="00C043D2" w:rsidRPr="001531A8" w14:paraId="7EE74FFD" w14:textId="77777777" w:rsidTr="00C043D2">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AF83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NPDSCH</w:t>
            </w:r>
          </w:p>
        </w:tc>
        <w:tc>
          <w:tcPr>
            <w:tcW w:w="277" w:type="dxa"/>
            <w:tcBorders>
              <w:top w:val="single" w:sz="8" w:space="0" w:color="4472C4"/>
              <w:left w:val="nil"/>
              <w:bottom w:val="single" w:sz="8" w:space="0" w:color="auto"/>
              <w:right w:val="single" w:sz="8" w:space="0" w:color="auto"/>
            </w:tcBorders>
            <w:tcMar>
              <w:top w:w="0" w:type="dxa"/>
              <w:left w:w="108" w:type="dxa"/>
              <w:bottom w:w="0" w:type="dxa"/>
              <w:right w:w="108" w:type="dxa"/>
            </w:tcMar>
            <w:hideMark/>
          </w:tcPr>
          <w:p w14:paraId="1F813A63"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BA9AABA"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755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42D674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CE0764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025" w:type="dxa"/>
            <w:gridSpan w:val="10"/>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1A252C2D"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104" w:type="dxa"/>
            <w:gridSpan w:val="10"/>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1F1C734C"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132" w:type="dxa"/>
            <w:tcBorders>
              <w:top w:val="single" w:sz="8" w:space="0" w:color="auto"/>
              <w:left w:val="nil"/>
              <w:bottom w:val="single" w:sz="8" w:space="0" w:color="auto"/>
              <w:right w:val="single" w:sz="8" w:space="0" w:color="auto"/>
            </w:tcBorders>
          </w:tcPr>
          <w:p w14:paraId="217FDFE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1BCC08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134178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67746E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8E7A98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A5F089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AD9685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183AEA4"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3CF7A6F"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998B849"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2E298B2"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A08A5C7"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8CC9737"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BD1F43E"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093D180"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1D919C0"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0BDDD80"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r>
      <w:tr w:rsidR="00C043D2" w:rsidRPr="001531A8" w14:paraId="5DB4ACAA" w14:textId="77777777" w:rsidTr="00C043D2">
        <w:tc>
          <w:tcPr>
            <w:tcW w:w="1111"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0AF48A9C" w14:textId="69F5F5BA"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7E18CD">
              <w:rPr>
                <w:rFonts w:asciiTheme="minorHAnsi" w:hAnsiTheme="minorHAnsi" w:cstheme="minorHAnsi"/>
                <w:color w:val="FF0000"/>
                <w:sz w:val="12"/>
                <w:szCs w:val="12"/>
                <w:lang w:eastAsia="en-GB"/>
              </w:rPr>
              <w:t>NPUSCH Format 2 Disabled</w:t>
            </w:r>
            <w:r>
              <w:rPr>
                <w:rFonts w:asciiTheme="minorHAnsi" w:hAnsiTheme="minorHAnsi" w:cstheme="minorHAnsi"/>
                <w:color w:val="FF0000"/>
                <w:sz w:val="12"/>
                <w:szCs w:val="12"/>
                <w:lang w:eastAsia="en-GB"/>
              </w:rPr>
              <w:t xml:space="preserve">, </w:t>
            </w:r>
            <w:r w:rsidRPr="00C043D2">
              <w:rPr>
                <w:rFonts w:asciiTheme="minorHAnsi" w:hAnsiTheme="minorHAnsi" w:cstheme="minorHAnsi"/>
                <w:color w:val="00B050"/>
                <w:sz w:val="12"/>
                <w:szCs w:val="12"/>
                <w:lang w:eastAsia="en-GB"/>
              </w:rPr>
              <w:t>instead Y = 12ms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276332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B9526A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3F8931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22F725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14106D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F3D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2992F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F8A34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9C39C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0509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019D6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F863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CD3FC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5886C"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F4EC1"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D32CF"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2E9DE"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42CC1A"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CF53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677E47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083BC5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8DDF24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5A3A9E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2BA4AF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FDB31E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584" w:type="dxa"/>
            <w:gridSpan w:val="12"/>
            <w:tcBorders>
              <w:top w:val="single" w:sz="8" w:space="0" w:color="auto"/>
              <w:left w:val="nil"/>
              <w:bottom w:val="single" w:sz="8" w:space="0" w:color="auto"/>
              <w:right w:val="single" w:sz="8" w:space="0" w:color="auto"/>
            </w:tcBorders>
            <w:shd w:val="clear" w:color="auto" w:fill="FFFF00"/>
          </w:tcPr>
          <w:p w14:paraId="68AECA83" w14:textId="77093461" w:rsidR="00C043D2" w:rsidRPr="001531A8" w:rsidRDefault="00C043D2" w:rsidP="00C043D2">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12ms</w:t>
            </w:r>
          </w:p>
        </w:tc>
        <w:tc>
          <w:tcPr>
            <w:tcW w:w="132" w:type="dxa"/>
            <w:tcBorders>
              <w:top w:val="single" w:sz="8" w:space="0" w:color="auto"/>
              <w:left w:val="nil"/>
              <w:bottom w:val="single" w:sz="8" w:space="0" w:color="auto"/>
              <w:right w:val="single" w:sz="8" w:space="0" w:color="auto"/>
            </w:tcBorders>
            <w:shd w:val="clear" w:color="auto" w:fill="auto"/>
            <w:hideMark/>
          </w:tcPr>
          <w:p w14:paraId="149BEF31"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D33D7FC"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8F1A65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3986BEC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0152B9F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r>
      <w:tr w:rsidR="00C043D2" w:rsidRPr="001531A8" w14:paraId="671C6F33" w14:textId="77777777" w:rsidTr="00C043D2">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0EC98" w14:textId="77777777" w:rsidR="00C043D2" w:rsidRPr="007E18CD" w:rsidRDefault="00C043D2"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For HARQ Process #0</w:t>
            </w:r>
          </w:p>
        </w:tc>
        <w:tc>
          <w:tcPr>
            <w:tcW w:w="577" w:type="dxa"/>
            <w:tcBorders>
              <w:top w:val="nil"/>
              <w:left w:val="single" w:sz="8" w:space="0" w:color="auto"/>
              <w:bottom w:val="single" w:sz="8" w:space="0" w:color="4472C4"/>
              <w:right w:val="single" w:sz="8" w:space="0" w:color="auto"/>
            </w:tcBorders>
          </w:tcPr>
          <w:p w14:paraId="76916BAA" w14:textId="77777777" w:rsidR="00C043D2" w:rsidRPr="007E18CD" w:rsidRDefault="00C043D2"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3DC610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108" w:type="dxa"/>
            <w:gridSpan w:val="4"/>
            <w:tcBorders>
              <w:top w:val="nil"/>
              <w:left w:val="nil"/>
              <w:bottom w:val="single" w:sz="8" w:space="0" w:color="4472C4"/>
              <w:right w:val="single" w:sz="8" w:space="0" w:color="auto"/>
            </w:tcBorders>
            <w:tcMar>
              <w:top w:w="0" w:type="dxa"/>
              <w:left w:w="108" w:type="dxa"/>
              <w:bottom w:w="0" w:type="dxa"/>
              <w:right w:w="108" w:type="dxa"/>
            </w:tcMar>
          </w:tcPr>
          <w:p w14:paraId="78841925"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C5901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685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F0D56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37BDB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76D60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FD804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2E939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1988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A4FFDC"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F850CC"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406C97"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92A576"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E27A14"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7245C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1EBCE7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E5B952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A75B35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06CDC1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B44BBB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6E164D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FE7843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FC9386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586C21B"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DD16018"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4607433"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356AF8E"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F99AB0E"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5443B6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5A8FB3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EB9A05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248975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5E218B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DDA8B27"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528" w:type="dxa"/>
            <w:gridSpan w:val="4"/>
            <w:tcBorders>
              <w:top w:val="single" w:sz="8" w:space="0" w:color="auto"/>
              <w:left w:val="nil"/>
              <w:bottom w:val="single" w:sz="8" w:space="0" w:color="auto"/>
              <w:right w:val="single" w:sz="8" w:space="0" w:color="auto"/>
            </w:tcBorders>
            <w:shd w:val="clear" w:color="auto" w:fill="auto"/>
          </w:tcPr>
          <w:p w14:paraId="44194862" w14:textId="77777777" w:rsidR="00C043D2" w:rsidRDefault="00C043D2"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 xml:space="preserve"> </w:t>
            </w:r>
          </w:p>
          <w:p w14:paraId="18FAC320" w14:textId="77777777" w:rsidR="00C043D2"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r>
      <w:tr w:rsidR="00C043D2" w:rsidRPr="001531A8" w14:paraId="53FB689A" w14:textId="77777777" w:rsidTr="00C043D2">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2E9CB" w14:textId="77777777" w:rsidR="00C043D2" w:rsidRPr="007E18CD" w:rsidRDefault="00C043D2"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For HARQ Process #</w:t>
            </w:r>
            <w:r>
              <w:rPr>
                <w:rFonts w:asciiTheme="minorHAnsi" w:hAnsiTheme="minorHAnsi" w:cstheme="minorHAnsi"/>
                <w:sz w:val="12"/>
                <w:szCs w:val="12"/>
                <w:lang w:eastAsia="en-GB"/>
              </w:rPr>
              <w:t>1</w:t>
            </w:r>
          </w:p>
        </w:tc>
        <w:tc>
          <w:tcPr>
            <w:tcW w:w="577" w:type="dxa"/>
            <w:tcBorders>
              <w:top w:val="nil"/>
              <w:left w:val="single" w:sz="8" w:space="0" w:color="auto"/>
              <w:bottom w:val="single" w:sz="8" w:space="0" w:color="4472C4"/>
              <w:right w:val="single" w:sz="8" w:space="0" w:color="auto"/>
            </w:tcBorders>
          </w:tcPr>
          <w:p w14:paraId="442FEAA9" w14:textId="77777777" w:rsidR="00C043D2" w:rsidRPr="007E18CD" w:rsidRDefault="00C043D2"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D4A2E0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1D4E48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F5050E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579" w:type="dxa"/>
            <w:gridSpan w:val="12"/>
            <w:tcBorders>
              <w:top w:val="nil"/>
              <w:left w:val="nil"/>
              <w:bottom w:val="single" w:sz="8" w:space="0" w:color="4472C4"/>
              <w:right w:val="single" w:sz="8" w:space="0" w:color="auto"/>
            </w:tcBorders>
            <w:tcMar>
              <w:top w:w="0" w:type="dxa"/>
              <w:left w:w="108" w:type="dxa"/>
              <w:bottom w:w="0" w:type="dxa"/>
              <w:right w:w="108" w:type="dxa"/>
            </w:tcMar>
          </w:tcPr>
          <w:p w14:paraId="473BC445" w14:textId="77777777" w:rsidR="00C043D2" w:rsidRPr="001531A8" w:rsidRDefault="00C043D2" w:rsidP="00704657">
            <w:pPr>
              <w:overflowPunct/>
              <w:autoSpaceDE/>
              <w:autoSpaceDN/>
              <w:adjustRightInd/>
              <w:spacing w:after="0"/>
              <w:jc w:val="center"/>
              <w:textAlignment w:val="auto"/>
              <w:rPr>
                <w:rFonts w:asciiTheme="minorHAnsi" w:eastAsia="Times New Roman" w:hAnsiTheme="minorHAnsi" w:cstheme="minorHAnsi"/>
                <w:sz w:val="12"/>
                <w:szCs w:val="12"/>
                <w:lang w:val="sv-SE" w:eastAsia="sv-SE"/>
              </w:rPr>
            </w:pPr>
            <w:r>
              <w:rPr>
                <w:rFonts w:asciiTheme="minorHAnsi" w:eastAsia="Times New Roman" w:hAnsiTheme="minorHAnsi" w:cstheme="minorHAnsi"/>
                <w:sz w:val="12"/>
                <w:szCs w:val="12"/>
                <w:lang w:val="sv-SE" w:eastAsia="sv-SE"/>
              </w:rPr>
              <w:t>12ms</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E560B5"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BBF132"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20E527" w14:textId="77777777" w:rsidR="00C043D2" w:rsidRPr="001531A8" w:rsidRDefault="00C043D2"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E8C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F05EB7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1261D0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E345A6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97CF87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A55896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E863FB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F481C6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C75DCE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0A95D91"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C776BFA"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C7629A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C29426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5E5A65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62A21C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95DC90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DF5B1D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5B4439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F920AC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0B4C8C9"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287CC51"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EB61EA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7BC30E0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04FF5F6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r>
    </w:tbl>
    <w:p w14:paraId="1C9B341B" w14:textId="77777777" w:rsidR="00C043D2" w:rsidRPr="00A87D48" w:rsidRDefault="00C043D2" w:rsidP="00F36862">
      <w:pPr>
        <w:pStyle w:val="BodyText"/>
        <w:jc w:val="center"/>
        <w:rPr>
          <w:rFonts w:ascii="Times New Roman" w:hAnsi="Times New Roman"/>
          <w:sz w:val="16"/>
          <w:szCs w:val="16"/>
          <w:lang w:eastAsia="ja-JP"/>
        </w:rPr>
      </w:pPr>
    </w:p>
    <w:p w14:paraId="282A8DFA" w14:textId="1D2C6EF3" w:rsidR="00F36862" w:rsidRPr="00462CF3" w:rsidRDefault="00F36862" w:rsidP="00F36862">
      <w:pPr>
        <w:pStyle w:val="Observation"/>
        <w:ind w:left="1701" w:hanging="1701"/>
      </w:pPr>
      <w:bookmarkStart w:id="14" w:name="_Toc115380686"/>
      <w:r>
        <w:t xml:space="preserve">When there are two HARQ processes in use, the disabling approach as per “Option 2” sets the starting point </w:t>
      </w:r>
      <w:r w:rsidR="003C1A32">
        <w:t xml:space="preserve">(according with 12ms) </w:t>
      </w:r>
      <w:r>
        <w:t>for the subsequent transmission of the first HARQ processes and leaves up to the eNodeB t</w:t>
      </w:r>
      <w:r w:rsidR="002B0094">
        <w:t>he</w:t>
      </w:r>
      <w:r>
        <w:t xml:space="preserve"> schedul</w:t>
      </w:r>
      <w:r w:rsidR="002B0094">
        <w:t>ing of</w:t>
      </w:r>
      <w:r>
        <w:t xml:space="preserve"> the second HARQ process.</w:t>
      </w:r>
      <w:bookmarkEnd w:id="14"/>
    </w:p>
    <w:p w14:paraId="03957EE0" w14:textId="186630AB" w:rsidR="00F36862" w:rsidRDefault="00F36862" w:rsidP="00F36862">
      <w:pPr>
        <w:pStyle w:val="Heading3"/>
      </w:pPr>
      <w:r>
        <w:t>3.</w:t>
      </w:r>
      <w:r w:rsidR="00037E3A">
        <w:t>1</w:t>
      </w:r>
      <w:r>
        <w:t>.3</w:t>
      </w:r>
      <w:r>
        <w:tab/>
        <w:t>Legacy statement as compared to Option 1 and Option 2.</w:t>
      </w:r>
    </w:p>
    <w:p w14:paraId="1930FCB1" w14:textId="2288D5BF" w:rsidR="00F36862" w:rsidRDefault="00F36862" w:rsidP="00F36862">
      <w:pPr>
        <w:jc w:val="both"/>
      </w:pPr>
      <w:r>
        <w:t>During the discussion on “Option 1” and “Option 2”, it was mentioned that one of them was meant to reflect an existing legacy statement when “</w:t>
      </w:r>
      <w:r w:rsidRPr="00632C88">
        <w:rPr>
          <w:sz w:val="16"/>
          <w:szCs w:val="16"/>
        </w:rPr>
        <w:t>the UE is not required to transmit a corresponding NPUSCH format 2</w:t>
      </w:r>
      <w:r>
        <w:t>”.</w:t>
      </w:r>
    </w:p>
    <w:p w14:paraId="075AD750" w14:textId="77777777" w:rsidR="00F36862" w:rsidRDefault="00F36862" w:rsidP="00F36862">
      <w:pPr>
        <w:jc w:val="both"/>
      </w:pPr>
      <w:r>
        <w:t>On this matter, in TS 36.213, clause 16.6 the following legacy statement can be found:</w:t>
      </w:r>
    </w:p>
    <w:tbl>
      <w:tblPr>
        <w:tblStyle w:val="TableGrid"/>
        <w:tblW w:w="0" w:type="auto"/>
        <w:tblLook w:val="04A0" w:firstRow="1" w:lastRow="0" w:firstColumn="1" w:lastColumn="0" w:noHBand="0" w:noVBand="1"/>
      </w:tblPr>
      <w:tblGrid>
        <w:gridCol w:w="9629"/>
      </w:tblGrid>
      <w:tr w:rsidR="00F36862" w14:paraId="5EF38B89" w14:textId="77777777" w:rsidTr="00704657">
        <w:tc>
          <w:tcPr>
            <w:tcW w:w="9629" w:type="dxa"/>
          </w:tcPr>
          <w:p w14:paraId="4302D6B4" w14:textId="77777777" w:rsidR="00F36862" w:rsidRDefault="00F36862" w:rsidP="00704657">
            <w:r w:rsidRPr="00632C88">
              <w:rPr>
                <w:sz w:val="16"/>
                <w:szCs w:val="16"/>
              </w:rPr>
              <w:t xml:space="preserve">If a NB-IoT UE receives a NPDSCH transmission ending in subframe </w:t>
            </w:r>
            <w:r w:rsidRPr="00632C88">
              <w:rPr>
                <w:i/>
                <w:sz w:val="16"/>
                <w:szCs w:val="16"/>
              </w:rPr>
              <w:t xml:space="preserve">n, </w:t>
            </w:r>
            <w:r w:rsidRPr="00632C88">
              <w:rPr>
                <w:sz w:val="16"/>
                <w:szCs w:val="16"/>
              </w:rPr>
              <w:t xml:space="preserve">and if </w:t>
            </w:r>
            <w:bookmarkStart w:id="15" w:name="_Hlk113631559"/>
            <w:r w:rsidRPr="00632C88">
              <w:rPr>
                <w:sz w:val="16"/>
                <w:szCs w:val="16"/>
              </w:rPr>
              <w:t>the UE is not required to transmit a corresponding NPUSCH format 2</w:t>
            </w:r>
            <w:bookmarkEnd w:id="15"/>
            <w:r w:rsidRPr="00632C88">
              <w:rPr>
                <w:sz w:val="16"/>
                <w:szCs w:val="16"/>
              </w:rPr>
              <w:t xml:space="preserve">, the UE is not required to monitor NPDCCH in any subframe starting from subframe </w:t>
            </w:r>
            <w:r w:rsidRPr="00632C88">
              <w:rPr>
                <w:i/>
                <w:sz w:val="16"/>
                <w:szCs w:val="16"/>
              </w:rPr>
              <w:t>n+1</w:t>
            </w:r>
            <w:r w:rsidRPr="00632C88">
              <w:rPr>
                <w:sz w:val="16"/>
                <w:szCs w:val="16"/>
              </w:rPr>
              <w:t xml:space="preserve"> to subframe </w:t>
            </w:r>
            <w:r w:rsidRPr="00632C88">
              <w:rPr>
                <w:i/>
                <w:sz w:val="16"/>
                <w:szCs w:val="16"/>
              </w:rPr>
              <w:t>n+12</w:t>
            </w:r>
            <w:r w:rsidRPr="00632C88">
              <w:rPr>
                <w:sz w:val="16"/>
                <w:szCs w:val="16"/>
              </w:rPr>
              <w:t>.</w:t>
            </w:r>
          </w:p>
        </w:tc>
      </w:tr>
    </w:tbl>
    <w:p w14:paraId="403CDFEF" w14:textId="18B1D8B4" w:rsidR="00F36862" w:rsidRDefault="00F36862" w:rsidP="00F36862">
      <w:pPr>
        <w:spacing w:before="120"/>
        <w:jc w:val="both"/>
      </w:pPr>
      <w:r>
        <w:t xml:space="preserve">The legacy statement is </w:t>
      </w:r>
      <w:proofErr w:type="gramStart"/>
      <w:r w:rsidR="00BB2B20">
        <w:t>similar to</w:t>
      </w:r>
      <w:proofErr w:type="gramEnd"/>
      <w:r>
        <w:t xml:space="preserve"> “Option 1”, however the legacy statement does not mention that it refers to a given HARQ process, whereas “Option 1” explicitly mentions “</w:t>
      </w:r>
      <w:r w:rsidRPr="00BB2B20">
        <w:rPr>
          <w:sz w:val="16"/>
          <w:szCs w:val="16"/>
          <w:u w:val="single"/>
          <w:lang w:val="en-US" w:eastAsia="x-none"/>
        </w:rPr>
        <w:t>for a given HARQ process</w:t>
      </w:r>
      <w:r>
        <w:t>” and “</w:t>
      </w:r>
      <w:r w:rsidRPr="00BB2B20">
        <w:rPr>
          <w:sz w:val="16"/>
          <w:szCs w:val="16"/>
          <w:u w:val="single"/>
          <w:lang w:val="en-US" w:eastAsia="x-none"/>
        </w:rPr>
        <w:t>for that HARQ process</w:t>
      </w:r>
      <w:r>
        <w:t>” which makes the “legacy statement” and “Option 1” different.</w:t>
      </w:r>
    </w:p>
    <w:p w14:paraId="7A67B381" w14:textId="4819F883" w:rsidR="00F36862" w:rsidRDefault="00F36862" w:rsidP="00F36862">
      <w:pPr>
        <w:jc w:val="both"/>
      </w:pPr>
      <w:r>
        <w:t>In a NB-IoT scenario with two HARQ processes</w:t>
      </w:r>
      <w:r w:rsidR="003C1FA5">
        <w:t xml:space="preserve"> (both with HARQ feedback disabled)</w:t>
      </w:r>
      <w:r>
        <w:t xml:space="preserve">, the “legacy statement” in the diagram below means that the subsequent transmission of “HARQ process#0” can occur earliest at subframe# </w:t>
      </w:r>
      <w:r>
        <w:rPr>
          <w:highlight w:val="yellow"/>
        </w:rPr>
        <w:t>3</w:t>
      </w:r>
      <w:r w:rsidRPr="00873D4D">
        <w:rPr>
          <w:highlight w:val="yellow"/>
        </w:rPr>
        <w:t>7</w:t>
      </w:r>
      <w:r>
        <w:t xml:space="preserve"> </w:t>
      </w:r>
      <w:r w:rsidR="00496E87">
        <w:t xml:space="preserve">due that </w:t>
      </w:r>
      <w:r>
        <w:t xml:space="preserve">“legacy statement” </w:t>
      </w:r>
      <w:r w:rsidR="00496E87">
        <w:t xml:space="preserve">when applied </w:t>
      </w:r>
      <w:r w:rsidR="00DA7C88">
        <w:t>t</w:t>
      </w:r>
      <w:r>
        <w:t xml:space="preserve">o the second HARQ processes </w:t>
      </w:r>
      <w:r w:rsidR="00290DB9">
        <w:t xml:space="preserve">extends the “no-monitoring interval” due that before 12ms have passed </w:t>
      </w:r>
      <w:r w:rsidR="003477A3">
        <w:t xml:space="preserve">(from subframe# 15) </w:t>
      </w:r>
      <w:r w:rsidR="00290DB9">
        <w:t xml:space="preserve">it yet again </w:t>
      </w:r>
      <w:r w:rsidR="00496E87">
        <w:t xml:space="preserve">says that </w:t>
      </w:r>
      <w:r>
        <w:t>“</w:t>
      </w:r>
      <w:r w:rsidRPr="00632C88">
        <w:rPr>
          <w:sz w:val="16"/>
          <w:szCs w:val="16"/>
        </w:rPr>
        <w:t xml:space="preserve">the UE is not required to monitor NPDCCH in any subframe starting from subframe </w:t>
      </w:r>
      <w:r w:rsidRPr="00632C88">
        <w:rPr>
          <w:i/>
          <w:sz w:val="16"/>
          <w:szCs w:val="16"/>
        </w:rPr>
        <w:t>n+1</w:t>
      </w:r>
      <w:r w:rsidRPr="00632C88">
        <w:rPr>
          <w:sz w:val="16"/>
          <w:szCs w:val="16"/>
        </w:rPr>
        <w:t xml:space="preserve"> to subframe </w:t>
      </w:r>
      <w:r w:rsidRPr="00632C88">
        <w:rPr>
          <w:i/>
          <w:sz w:val="16"/>
          <w:szCs w:val="16"/>
        </w:rPr>
        <w:t>n+12</w:t>
      </w:r>
      <w:r>
        <w:t>” (</w:t>
      </w:r>
      <w:r w:rsidR="00496E87">
        <w:t>Recall</w:t>
      </w:r>
      <w:r>
        <w:t xml:space="preserve"> the “legacy statement” does not say</w:t>
      </w:r>
      <w:r w:rsidR="00496E87">
        <w:t xml:space="preserve"> that “</w:t>
      </w:r>
      <w:r w:rsidR="00496E87" w:rsidRPr="00632C88">
        <w:rPr>
          <w:sz w:val="16"/>
          <w:szCs w:val="16"/>
        </w:rPr>
        <w:t>the UE is not required to monitor NPDCCH</w:t>
      </w:r>
      <w:r w:rsidR="00496E87">
        <w:t>”</w:t>
      </w:r>
      <w:r>
        <w:t xml:space="preserve"> “</w:t>
      </w:r>
      <w:r w:rsidRPr="00496E87">
        <w:rPr>
          <w:sz w:val="16"/>
          <w:szCs w:val="16"/>
          <w:u w:val="single"/>
          <w:lang w:val="en-US" w:eastAsia="x-none"/>
        </w:rPr>
        <w:t>for that HARQ process</w:t>
      </w:r>
      <w:r>
        <w:t xml:space="preserve">”). So, the subsequent transmission of “HARQ process#0” can occur earliest at subframe# </w:t>
      </w:r>
      <w:r>
        <w:rPr>
          <w:highlight w:val="yellow"/>
        </w:rPr>
        <w:t>3</w:t>
      </w:r>
      <w:r w:rsidRPr="00873D4D">
        <w:rPr>
          <w:highlight w:val="yellow"/>
        </w:rPr>
        <w:t>7</w:t>
      </w:r>
      <w:r>
        <w:t xml:space="preserve"> whereas the subsequent transmission of “HARQ process#1” can occur afterwards up to the network for example at subframe# </w:t>
      </w:r>
      <w:r w:rsidRPr="0018044B">
        <w:rPr>
          <w:highlight w:val="red"/>
        </w:rPr>
        <w:t>39</w:t>
      </w:r>
      <w:r>
        <w:t>.</w:t>
      </w:r>
    </w:p>
    <w:p w14:paraId="775E5A57" w14:textId="7EB503C8" w:rsidR="00F36862" w:rsidRPr="00A87D48" w:rsidRDefault="00F36862" w:rsidP="00F36862">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sidR="003C1FA5">
        <w:rPr>
          <w:rFonts w:ascii="Times New Roman" w:hAnsi="Times New Roman"/>
          <w:sz w:val="16"/>
          <w:szCs w:val="16"/>
          <w:lang w:eastAsia="ja-JP"/>
        </w:rPr>
        <w:t>3C</w:t>
      </w:r>
      <w:r w:rsidRPr="00A87D48">
        <w:rPr>
          <w:rFonts w:ascii="Times New Roman" w:hAnsi="Times New Roman"/>
          <w:sz w:val="16"/>
          <w:szCs w:val="16"/>
          <w:lang w:eastAsia="ja-JP"/>
        </w:rPr>
        <w:t xml:space="preserve">: </w:t>
      </w:r>
      <w:r w:rsidRPr="006A54A2">
        <w:rPr>
          <w:rFonts w:ascii="Times New Roman" w:hAnsi="Times New Roman"/>
          <w:sz w:val="16"/>
          <w:szCs w:val="16"/>
          <w:lang w:eastAsia="ja-JP"/>
        </w:rPr>
        <w:t xml:space="preserve">Legacy </w:t>
      </w:r>
      <w:r w:rsidR="00336AD6">
        <w:rPr>
          <w:rFonts w:ascii="Times New Roman" w:hAnsi="Times New Roman"/>
          <w:sz w:val="16"/>
          <w:szCs w:val="16"/>
          <w:lang w:eastAsia="ja-JP"/>
        </w:rPr>
        <w:t xml:space="preserve">statement </w:t>
      </w:r>
      <w:r w:rsidR="00336AD6" w:rsidRPr="00336AD6">
        <w:rPr>
          <w:rFonts w:ascii="Times New Roman" w:hAnsi="Times New Roman"/>
          <w:sz w:val="16"/>
          <w:szCs w:val="16"/>
          <w:lang w:eastAsia="ja-JP"/>
        </w:rPr>
        <w:t>when “the UE is not required to transmit a corresponding NPUSCH format 2”</w:t>
      </w:r>
      <w:r w:rsidR="00336AD6">
        <w:rPr>
          <w:rFonts w:ascii="Times New Roman" w:hAnsi="Times New Roman"/>
          <w:sz w:val="16"/>
          <w:szCs w:val="16"/>
          <w:lang w:eastAsia="ja-JP"/>
        </w:rPr>
        <w:t xml:space="preserve">, </w:t>
      </w:r>
      <w:r w:rsidRPr="006A54A2">
        <w:rPr>
          <w:rFonts w:ascii="Times New Roman" w:hAnsi="Times New Roman"/>
          <w:sz w:val="16"/>
          <w:szCs w:val="16"/>
          <w:lang w:eastAsia="ja-JP"/>
        </w:rPr>
        <w:t>two HARQ</w:t>
      </w:r>
      <w:r>
        <w:rPr>
          <w:rFonts w:ascii="Times New Roman" w:hAnsi="Times New Roman"/>
          <w:sz w:val="16"/>
          <w:szCs w:val="16"/>
          <w:lang w:eastAsia="ja-JP"/>
        </w:rPr>
        <w:t xml:space="preserve"> processes</w:t>
      </w:r>
      <w:r w:rsidRPr="006A54A2">
        <w:rPr>
          <w:rFonts w:ascii="Times New Roman" w:hAnsi="Times New Roman"/>
          <w:sz w:val="16"/>
          <w:szCs w:val="16"/>
          <w:lang w:eastAsia="ja-JP"/>
        </w:rPr>
        <w:t xml:space="preserve"> for </w:t>
      </w:r>
      <w:r>
        <w:rPr>
          <w:rFonts w:ascii="Times New Roman" w:hAnsi="Times New Roman"/>
          <w:sz w:val="16"/>
          <w:szCs w:val="16"/>
          <w:lang w:eastAsia="ja-JP"/>
        </w:rPr>
        <w:t xml:space="preserve">a </w:t>
      </w:r>
      <w:r w:rsidRPr="006A54A2">
        <w:rPr>
          <w:rFonts w:ascii="Times New Roman" w:hAnsi="Times New Roman"/>
          <w:sz w:val="16"/>
          <w:szCs w:val="16"/>
          <w:lang w:eastAsia="ja-JP"/>
        </w:rPr>
        <w:t>Cat-NB2 UE</w:t>
      </w:r>
      <w:r w:rsidRPr="00A87D48">
        <w:rPr>
          <w:rFonts w:ascii="Times New Roman" w:hAnsi="Times New Roman"/>
          <w:sz w:val="16"/>
          <w:szCs w:val="16"/>
          <w:lang w:eastAsia="ja-JP"/>
        </w:rPr>
        <w:t>.</w:t>
      </w:r>
    </w:p>
    <w:tbl>
      <w:tblPr>
        <w:tblW w:w="9869" w:type="dxa"/>
        <w:tblInd w:w="-118" w:type="dxa"/>
        <w:tblLayout w:type="fixed"/>
        <w:tblCellMar>
          <w:left w:w="0" w:type="dxa"/>
          <w:right w:w="0" w:type="dxa"/>
        </w:tblCellMar>
        <w:tblLook w:val="04A0" w:firstRow="1" w:lastRow="0" w:firstColumn="1" w:lastColumn="0" w:noHBand="0" w:noVBand="1"/>
      </w:tblPr>
      <w:tblGrid>
        <w:gridCol w:w="534"/>
        <w:gridCol w:w="577"/>
        <w:gridCol w:w="277"/>
        <w:gridCol w:w="277"/>
        <w:gridCol w:w="277"/>
        <w:gridCol w:w="277"/>
        <w:gridCol w:w="277"/>
        <w:gridCol w:w="277"/>
        <w:gridCol w:w="277"/>
        <w:gridCol w:w="277"/>
        <w:gridCol w:w="277"/>
        <w:gridCol w:w="277"/>
        <w:gridCol w:w="328"/>
        <w:gridCol w:w="328"/>
        <w:gridCol w:w="328"/>
        <w:gridCol w:w="328"/>
        <w:gridCol w:w="328"/>
        <w:gridCol w:w="328"/>
        <w:gridCol w:w="328"/>
        <w:gridCol w:w="328"/>
        <w:gridCol w:w="328"/>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tblGrid>
      <w:tr w:rsidR="0045028A" w:rsidRPr="001531A8" w14:paraId="7308DE7A" w14:textId="057A75D0" w:rsidTr="0045028A">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CACD2" w14:textId="498A330E"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Earliest DL Reception of the subsequent HARQ Process as per “Legacy statement”</w:t>
            </w:r>
          </w:p>
        </w:tc>
        <w:tc>
          <w:tcPr>
            <w:tcW w:w="277" w:type="dxa"/>
            <w:tcBorders>
              <w:top w:val="single" w:sz="8" w:space="0" w:color="auto"/>
              <w:left w:val="nil"/>
              <w:right w:val="single" w:sz="8" w:space="0" w:color="auto"/>
            </w:tcBorders>
            <w:tcMar>
              <w:top w:w="0" w:type="dxa"/>
              <w:left w:w="108" w:type="dxa"/>
              <w:bottom w:w="0" w:type="dxa"/>
              <w:right w:w="108" w:type="dxa"/>
            </w:tcMar>
          </w:tcPr>
          <w:p w14:paraId="563EDFC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1CFB3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DE3FD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4463F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CB9E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358AD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1C6F3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3564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722F6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911FB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A8A2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127F0B"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A08C0F"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29E4BB"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38A623"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4A5C24"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BD993C"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6991"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5AA031"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3C03A57"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08ADA79"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9EC16A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12D84BE"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A4A4DD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F98B1EE"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FEED139"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7DD68C7"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4095184" w14:textId="77777777" w:rsidR="0045028A" w:rsidRDefault="0045028A" w:rsidP="00704657">
            <w:pPr>
              <w:overflowPunct/>
              <w:autoSpaceDE/>
              <w:autoSpaceDN/>
              <w:adjustRightInd/>
              <w:spacing w:after="0"/>
              <w:textAlignment w:val="auto"/>
              <w:rPr>
                <w:rFonts w:asciiTheme="minorHAnsi" w:hAnsiTheme="minorHAnsi" w:cstheme="minorHAnsi"/>
                <w:sz w:val="11"/>
                <w:szCs w:val="11"/>
                <w:lang w:eastAsia="en-GB"/>
              </w:rPr>
            </w:pPr>
          </w:p>
          <w:p w14:paraId="048909C7" w14:textId="77777777" w:rsidR="0045028A" w:rsidRDefault="0045028A" w:rsidP="00704657">
            <w:pPr>
              <w:overflowPunct/>
              <w:autoSpaceDE/>
              <w:autoSpaceDN/>
              <w:adjustRightInd/>
              <w:spacing w:after="0"/>
              <w:textAlignment w:val="auto"/>
              <w:rPr>
                <w:rFonts w:asciiTheme="minorHAnsi" w:hAnsiTheme="minorHAnsi" w:cstheme="minorHAnsi"/>
                <w:sz w:val="11"/>
                <w:szCs w:val="11"/>
                <w:lang w:eastAsia="en-GB"/>
              </w:rPr>
            </w:pPr>
          </w:p>
          <w:p w14:paraId="1848BC1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964529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8C11FFA"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3F4B1B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D523835"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6431FB9"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824C73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5FB35A3"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14591F2"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4FCC1AF"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FF00"/>
          </w:tcPr>
          <w:p w14:paraId="1F9F4F70" w14:textId="77777777" w:rsidR="0045028A" w:rsidRDefault="0045028A" w:rsidP="00704657">
            <w:pPr>
              <w:overflowPunct/>
              <w:autoSpaceDE/>
              <w:autoSpaceDN/>
              <w:adjustRightInd/>
              <w:spacing w:after="0"/>
              <w:textAlignment w:val="auto"/>
              <w:rPr>
                <w:rFonts w:asciiTheme="minorHAnsi" w:hAnsiTheme="minorHAnsi" w:cstheme="minorHAnsi"/>
                <w:sz w:val="11"/>
                <w:szCs w:val="11"/>
                <w:lang w:eastAsia="en-GB"/>
              </w:rPr>
            </w:pPr>
          </w:p>
          <w:p w14:paraId="3DB72EB7" w14:textId="77777777" w:rsidR="0045028A" w:rsidRDefault="0045028A" w:rsidP="00704657">
            <w:pPr>
              <w:overflowPunct/>
              <w:autoSpaceDE/>
              <w:autoSpaceDN/>
              <w:adjustRightInd/>
              <w:spacing w:after="0"/>
              <w:textAlignment w:val="auto"/>
              <w:rPr>
                <w:rFonts w:asciiTheme="minorHAnsi" w:hAnsiTheme="minorHAnsi" w:cstheme="minorHAnsi"/>
                <w:sz w:val="11"/>
                <w:szCs w:val="11"/>
                <w:lang w:eastAsia="en-GB"/>
              </w:rPr>
            </w:pPr>
          </w:p>
          <w:p w14:paraId="3787F0B5"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752A1B81"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0000"/>
          </w:tcPr>
          <w:p w14:paraId="6B6E1634" w14:textId="77777777" w:rsidR="0045028A" w:rsidRDefault="0045028A" w:rsidP="00704657">
            <w:pPr>
              <w:overflowPunct/>
              <w:autoSpaceDE/>
              <w:autoSpaceDN/>
              <w:adjustRightInd/>
              <w:spacing w:after="0"/>
              <w:textAlignment w:val="auto"/>
              <w:rPr>
                <w:rFonts w:asciiTheme="minorHAnsi" w:hAnsiTheme="minorHAnsi" w:cstheme="minorHAnsi"/>
                <w:sz w:val="11"/>
                <w:szCs w:val="11"/>
                <w:lang w:eastAsia="en-GB"/>
              </w:rPr>
            </w:pPr>
          </w:p>
          <w:p w14:paraId="7956A9EB" w14:textId="77777777" w:rsidR="0045028A" w:rsidRDefault="0045028A" w:rsidP="00704657">
            <w:pPr>
              <w:overflowPunct/>
              <w:autoSpaceDE/>
              <w:autoSpaceDN/>
              <w:adjustRightInd/>
              <w:spacing w:after="0"/>
              <w:textAlignment w:val="auto"/>
              <w:rPr>
                <w:rFonts w:asciiTheme="minorHAnsi" w:hAnsiTheme="minorHAnsi" w:cstheme="minorHAnsi"/>
                <w:sz w:val="11"/>
                <w:szCs w:val="11"/>
                <w:lang w:eastAsia="en-GB"/>
              </w:rPr>
            </w:pPr>
          </w:p>
          <w:p w14:paraId="0CC1A545"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7BEDF625"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60651CD"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p>
        </w:tc>
      </w:tr>
      <w:tr w:rsidR="0045028A" w:rsidRPr="001531A8" w14:paraId="77818FE0" w14:textId="5CEF6558" w:rsidTr="0045028A">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BE40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val="sv-SE" w:eastAsia="en-GB"/>
              </w:rPr>
            </w:pPr>
            <w:r w:rsidRPr="001531A8">
              <w:rPr>
                <w:rFonts w:asciiTheme="minorHAnsi" w:hAnsiTheme="minorHAnsi" w:cstheme="minorHAnsi"/>
                <w:sz w:val="12"/>
                <w:szCs w:val="12"/>
                <w:lang w:eastAsia="en-GB"/>
              </w:rPr>
              <w:t>Subrame#</w:t>
            </w:r>
          </w:p>
        </w:tc>
        <w:tc>
          <w:tcPr>
            <w:tcW w:w="277" w:type="dxa"/>
            <w:tcBorders>
              <w:top w:val="single" w:sz="8" w:space="0" w:color="auto"/>
              <w:left w:val="nil"/>
              <w:right w:val="single" w:sz="8" w:space="0" w:color="auto"/>
            </w:tcBorders>
            <w:tcMar>
              <w:top w:w="0" w:type="dxa"/>
              <w:left w:w="108" w:type="dxa"/>
              <w:bottom w:w="0" w:type="dxa"/>
              <w:right w:w="108" w:type="dxa"/>
            </w:tcMar>
            <w:hideMark/>
          </w:tcPr>
          <w:p w14:paraId="1877EE8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6B94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E21B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07CA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A6F8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5609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8477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A97A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C9432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111D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9</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B56E0B"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10</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B842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11</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96BB7"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12</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61103"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13</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078F83"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14</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194BF7"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15</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3FF20"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16</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F318A"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17</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C3679"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18</w:t>
            </w:r>
          </w:p>
        </w:tc>
        <w:tc>
          <w:tcPr>
            <w:tcW w:w="132" w:type="dxa"/>
            <w:tcBorders>
              <w:top w:val="single" w:sz="8" w:space="0" w:color="auto"/>
              <w:left w:val="nil"/>
              <w:bottom w:val="single" w:sz="8" w:space="0" w:color="auto"/>
              <w:right w:val="single" w:sz="8" w:space="0" w:color="auto"/>
            </w:tcBorders>
            <w:hideMark/>
          </w:tcPr>
          <w:p w14:paraId="5D42BAC3"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19</w:t>
            </w:r>
          </w:p>
        </w:tc>
        <w:tc>
          <w:tcPr>
            <w:tcW w:w="132" w:type="dxa"/>
            <w:tcBorders>
              <w:top w:val="single" w:sz="8" w:space="0" w:color="auto"/>
              <w:left w:val="nil"/>
              <w:bottom w:val="single" w:sz="8" w:space="0" w:color="auto"/>
              <w:right w:val="single" w:sz="8" w:space="0" w:color="auto"/>
            </w:tcBorders>
            <w:hideMark/>
          </w:tcPr>
          <w:p w14:paraId="6403BFE0"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20</w:t>
            </w:r>
          </w:p>
        </w:tc>
        <w:tc>
          <w:tcPr>
            <w:tcW w:w="132" w:type="dxa"/>
            <w:tcBorders>
              <w:top w:val="single" w:sz="8" w:space="0" w:color="auto"/>
              <w:left w:val="nil"/>
              <w:bottom w:val="single" w:sz="8" w:space="0" w:color="auto"/>
              <w:right w:val="single" w:sz="8" w:space="0" w:color="auto"/>
            </w:tcBorders>
            <w:hideMark/>
          </w:tcPr>
          <w:p w14:paraId="7EE4E9EF"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21</w:t>
            </w:r>
          </w:p>
        </w:tc>
        <w:tc>
          <w:tcPr>
            <w:tcW w:w="132" w:type="dxa"/>
            <w:tcBorders>
              <w:top w:val="single" w:sz="8" w:space="0" w:color="auto"/>
              <w:left w:val="nil"/>
              <w:bottom w:val="single" w:sz="8" w:space="0" w:color="auto"/>
              <w:right w:val="single" w:sz="8" w:space="0" w:color="auto"/>
            </w:tcBorders>
            <w:hideMark/>
          </w:tcPr>
          <w:p w14:paraId="2EEF75CE"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22</w:t>
            </w:r>
          </w:p>
        </w:tc>
        <w:tc>
          <w:tcPr>
            <w:tcW w:w="132" w:type="dxa"/>
            <w:tcBorders>
              <w:top w:val="single" w:sz="8" w:space="0" w:color="auto"/>
              <w:left w:val="nil"/>
              <w:bottom w:val="single" w:sz="8" w:space="0" w:color="auto"/>
              <w:right w:val="single" w:sz="8" w:space="0" w:color="auto"/>
            </w:tcBorders>
            <w:hideMark/>
          </w:tcPr>
          <w:p w14:paraId="33871C9B"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23</w:t>
            </w:r>
          </w:p>
        </w:tc>
        <w:tc>
          <w:tcPr>
            <w:tcW w:w="132" w:type="dxa"/>
            <w:tcBorders>
              <w:top w:val="single" w:sz="8" w:space="0" w:color="auto"/>
              <w:left w:val="nil"/>
              <w:bottom w:val="single" w:sz="8" w:space="0" w:color="auto"/>
              <w:right w:val="single" w:sz="8" w:space="0" w:color="auto"/>
            </w:tcBorders>
            <w:hideMark/>
          </w:tcPr>
          <w:p w14:paraId="616125B2"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24</w:t>
            </w:r>
          </w:p>
        </w:tc>
        <w:tc>
          <w:tcPr>
            <w:tcW w:w="132" w:type="dxa"/>
            <w:tcBorders>
              <w:top w:val="single" w:sz="8" w:space="0" w:color="auto"/>
              <w:left w:val="nil"/>
              <w:bottom w:val="single" w:sz="8" w:space="0" w:color="auto"/>
              <w:right w:val="single" w:sz="8" w:space="0" w:color="auto"/>
            </w:tcBorders>
            <w:hideMark/>
          </w:tcPr>
          <w:p w14:paraId="66F01120"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25</w:t>
            </w:r>
          </w:p>
        </w:tc>
        <w:tc>
          <w:tcPr>
            <w:tcW w:w="132" w:type="dxa"/>
            <w:tcBorders>
              <w:top w:val="single" w:sz="8" w:space="0" w:color="auto"/>
              <w:left w:val="nil"/>
              <w:bottom w:val="single" w:sz="8" w:space="0" w:color="auto"/>
              <w:right w:val="single" w:sz="8" w:space="0" w:color="auto"/>
            </w:tcBorders>
            <w:hideMark/>
          </w:tcPr>
          <w:p w14:paraId="22CDF54F"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26</w:t>
            </w:r>
          </w:p>
        </w:tc>
        <w:tc>
          <w:tcPr>
            <w:tcW w:w="132" w:type="dxa"/>
            <w:tcBorders>
              <w:top w:val="single" w:sz="8" w:space="0" w:color="auto"/>
              <w:left w:val="nil"/>
              <w:bottom w:val="single" w:sz="8" w:space="0" w:color="auto"/>
              <w:right w:val="single" w:sz="8" w:space="0" w:color="auto"/>
            </w:tcBorders>
            <w:hideMark/>
          </w:tcPr>
          <w:p w14:paraId="524894C4"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27</w:t>
            </w:r>
          </w:p>
        </w:tc>
        <w:tc>
          <w:tcPr>
            <w:tcW w:w="132" w:type="dxa"/>
            <w:tcBorders>
              <w:top w:val="single" w:sz="8" w:space="0" w:color="auto"/>
              <w:left w:val="nil"/>
              <w:bottom w:val="single" w:sz="8" w:space="0" w:color="auto"/>
              <w:right w:val="single" w:sz="8" w:space="0" w:color="auto"/>
            </w:tcBorders>
            <w:hideMark/>
          </w:tcPr>
          <w:p w14:paraId="457FFE77"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28</w:t>
            </w:r>
          </w:p>
        </w:tc>
        <w:tc>
          <w:tcPr>
            <w:tcW w:w="132" w:type="dxa"/>
            <w:tcBorders>
              <w:top w:val="single" w:sz="8" w:space="0" w:color="auto"/>
              <w:left w:val="nil"/>
              <w:bottom w:val="single" w:sz="8" w:space="0" w:color="auto"/>
              <w:right w:val="single" w:sz="8" w:space="0" w:color="auto"/>
            </w:tcBorders>
            <w:hideMark/>
          </w:tcPr>
          <w:p w14:paraId="5A51FE36"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29</w:t>
            </w:r>
          </w:p>
        </w:tc>
        <w:tc>
          <w:tcPr>
            <w:tcW w:w="132" w:type="dxa"/>
            <w:tcBorders>
              <w:top w:val="single" w:sz="8" w:space="0" w:color="auto"/>
              <w:left w:val="nil"/>
              <w:bottom w:val="single" w:sz="8" w:space="0" w:color="auto"/>
              <w:right w:val="single" w:sz="8" w:space="0" w:color="auto"/>
            </w:tcBorders>
            <w:hideMark/>
          </w:tcPr>
          <w:p w14:paraId="16923570"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30</w:t>
            </w:r>
          </w:p>
        </w:tc>
        <w:tc>
          <w:tcPr>
            <w:tcW w:w="132" w:type="dxa"/>
            <w:tcBorders>
              <w:top w:val="single" w:sz="8" w:space="0" w:color="auto"/>
              <w:left w:val="nil"/>
              <w:bottom w:val="single" w:sz="8" w:space="0" w:color="auto"/>
              <w:right w:val="single" w:sz="8" w:space="0" w:color="auto"/>
            </w:tcBorders>
            <w:hideMark/>
          </w:tcPr>
          <w:p w14:paraId="0218B8AC"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31</w:t>
            </w:r>
          </w:p>
        </w:tc>
        <w:tc>
          <w:tcPr>
            <w:tcW w:w="132" w:type="dxa"/>
            <w:tcBorders>
              <w:top w:val="single" w:sz="8" w:space="0" w:color="auto"/>
              <w:left w:val="nil"/>
              <w:bottom w:val="single" w:sz="8" w:space="0" w:color="auto"/>
              <w:right w:val="single" w:sz="8" w:space="0" w:color="auto"/>
            </w:tcBorders>
            <w:hideMark/>
          </w:tcPr>
          <w:p w14:paraId="09714DB1"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32</w:t>
            </w:r>
          </w:p>
        </w:tc>
        <w:tc>
          <w:tcPr>
            <w:tcW w:w="132" w:type="dxa"/>
            <w:tcBorders>
              <w:top w:val="single" w:sz="8" w:space="0" w:color="auto"/>
              <w:left w:val="nil"/>
              <w:bottom w:val="single" w:sz="8" w:space="0" w:color="auto"/>
              <w:right w:val="single" w:sz="8" w:space="0" w:color="auto"/>
            </w:tcBorders>
            <w:hideMark/>
          </w:tcPr>
          <w:p w14:paraId="5ABE4369"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33</w:t>
            </w:r>
          </w:p>
        </w:tc>
        <w:tc>
          <w:tcPr>
            <w:tcW w:w="132" w:type="dxa"/>
            <w:tcBorders>
              <w:top w:val="single" w:sz="8" w:space="0" w:color="auto"/>
              <w:left w:val="nil"/>
              <w:bottom w:val="single" w:sz="8" w:space="0" w:color="auto"/>
              <w:right w:val="single" w:sz="8" w:space="0" w:color="auto"/>
            </w:tcBorders>
            <w:hideMark/>
          </w:tcPr>
          <w:p w14:paraId="502D083F"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34</w:t>
            </w:r>
          </w:p>
        </w:tc>
        <w:tc>
          <w:tcPr>
            <w:tcW w:w="132" w:type="dxa"/>
            <w:tcBorders>
              <w:top w:val="single" w:sz="8" w:space="0" w:color="auto"/>
              <w:left w:val="nil"/>
              <w:bottom w:val="single" w:sz="8" w:space="0" w:color="auto"/>
              <w:right w:val="single" w:sz="8" w:space="0" w:color="auto"/>
            </w:tcBorders>
            <w:hideMark/>
          </w:tcPr>
          <w:p w14:paraId="6AA24621"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35</w:t>
            </w:r>
          </w:p>
        </w:tc>
        <w:tc>
          <w:tcPr>
            <w:tcW w:w="132" w:type="dxa"/>
            <w:tcBorders>
              <w:top w:val="single" w:sz="8" w:space="0" w:color="auto"/>
              <w:left w:val="nil"/>
              <w:bottom w:val="single" w:sz="8" w:space="0" w:color="auto"/>
              <w:right w:val="single" w:sz="8" w:space="0" w:color="auto"/>
            </w:tcBorders>
            <w:hideMark/>
          </w:tcPr>
          <w:p w14:paraId="6E6959BF"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36</w:t>
            </w:r>
          </w:p>
        </w:tc>
        <w:tc>
          <w:tcPr>
            <w:tcW w:w="132" w:type="dxa"/>
            <w:tcBorders>
              <w:top w:val="single" w:sz="8" w:space="0" w:color="auto"/>
              <w:left w:val="nil"/>
              <w:bottom w:val="single" w:sz="8" w:space="0" w:color="auto"/>
              <w:right w:val="single" w:sz="8" w:space="0" w:color="auto"/>
            </w:tcBorders>
            <w:hideMark/>
          </w:tcPr>
          <w:p w14:paraId="5AA4D498"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37</w:t>
            </w:r>
          </w:p>
        </w:tc>
        <w:tc>
          <w:tcPr>
            <w:tcW w:w="132" w:type="dxa"/>
            <w:tcBorders>
              <w:top w:val="single" w:sz="8" w:space="0" w:color="auto"/>
              <w:left w:val="nil"/>
              <w:bottom w:val="single" w:sz="8" w:space="0" w:color="auto"/>
              <w:right w:val="single" w:sz="8" w:space="0" w:color="auto"/>
            </w:tcBorders>
            <w:hideMark/>
          </w:tcPr>
          <w:p w14:paraId="007CADC1"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38</w:t>
            </w:r>
          </w:p>
        </w:tc>
        <w:tc>
          <w:tcPr>
            <w:tcW w:w="132" w:type="dxa"/>
            <w:tcBorders>
              <w:top w:val="single" w:sz="8" w:space="0" w:color="auto"/>
              <w:left w:val="nil"/>
              <w:bottom w:val="single" w:sz="8" w:space="0" w:color="auto"/>
              <w:right w:val="single" w:sz="8" w:space="0" w:color="auto"/>
            </w:tcBorders>
            <w:hideMark/>
          </w:tcPr>
          <w:p w14:paraId="4A22731E"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39</w:t>
            </w:r>
          </w:p>
        </w:tc>
        <w:tc>
          <w:tcPr>
            <w:tcW w:w="132" w:type="dxa"/>
            <w:tcBorders>
              <w:top w:val="single" w:sz="8" w:space="0" w:color="auto"/>
              <w:left w:val="nil"/>
              <w:bottom w:val="single" w:sz="8" w:space="0" w:color="auto"/>
              <w:right w:val="single" w:sz="8" w:space="0" w:color="auto"/>
            </w:tcBorders>
            <w:hideMark/>
          </w:tcPr>
          <w:p w14:paraId="26A733F9" w14:textId="77777777"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40</w:t>
            </w:r>
          </w:p>
        </w:tc>
        <w:tc>
          <w:tcPr>
            <w:tcW w:w="132" w:type="dxa"/>
            <w:tcBorders>
              <w:top w:val="single" w:sz="8" w:space="0" w:color="auto"/>
              <w:left w:val="nil"/>
              <w:bottom w:val="single" w:sz="8" w:space="0" w:color="auto"/>
              <w:right w:val="single" w:sz="8" w:space="0" w:color="auto"/>
            </w:tcBorders>
          </w:tcPr>
          <w:p w14:paraId="670FC49F" w14:textId="01D9E348" w:rsidR="0045028A" w:rsidRPr="001531A8" w:rsidRDefault="0045028A"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r>
      <w:tr w:rsidR="0045028A" w:rsidRPr="001531A8" w14:paraId="7B4131C4" w14:textId="0017A436" w:rsidTr="0045028A">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97BF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NPDCCH</w:t>
            </w:r>
          </w:p>
        </w:tc>
        <w:tc>
          <w:tcPr>
            <w:tcW w:w="277" w:type="dxa"/>
            <w:tcBorders>
              <w:top w:val="nil"/>
              <w:left w:val="nil"/>
              <w:bottom w:val="single" w:sz="8" w:space="0" w:color="4472C4"/>
              <w:right w:val="single" w:sz="8" w:space="0" w:color="auto"/>
            </w:tcBorders>
            <w:shd w:val="clear" w:color="auto" w:fill="5B9BD5" w:themeFill="accent5"/>
            <w:tcMar>
              <w:top w:w="0" w:type="dxa"/>
              <w:left w:w="108" w:type="dxa"/>
              <w:bottom w:w="0" w:type="dxa"/>
              <w:right w:w="108" w:type="dxa"/>
            </w:tcMar>
            <w:hideMark/>
          </w:tcPr>
          <w:p w14:paraId="0F95625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0E957A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42D46B2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6A20582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5E333A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84152D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6D135BA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AB081F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077C33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D88FBE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5B35C95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979882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0668054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5FA00DF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A45E43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065150D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78967AA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FEB535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41EA381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177406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6EF363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1FED02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784B75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97A8DE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DA1B23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F3F2B7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573709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8B3FE9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C3AD29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7AE3F6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2C41E8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8D2EF8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F3C4F3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7B7887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6F9DE8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ADB5AA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C30AE0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0080C0"/>
          </w:tcPr>
          <w:p w14:paraId="6292013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32" w:type="dxa"/>
            <w:tcBorders>
              <w:top w:val="nil"/>
              <w:left w:val="nil"/>
              <w:bottom w:val="single" w:sz="8" w:space="0" w:color="auto"/>
              <w:right w:val="single" w:sz="8" w:space="0" w:color="auto"/>
            </w:tcBorders>
          </w:tcPr>
          <w:p w14:paraId="1645625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FFE599" w:themeFill="accent4" w:themeFillTint="66"/>
          </w:tcPr>
          <w:p w14:paraId="7ED96DE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32" w:type="dxa"/>
            <w:tcBorders>
              <w:top w:val="nil"/>
              <w:left w:val="nil"/>
              <w:bottom w:val="single" w:sz="8" w:space="0" w:color="auto"/>
              <w:right w:val="single" w:sz="8" w:space="0" w:color="auto"/>
            </w:tcBorders>
            <w:hideMark/>
          </w:tcPr>
          <w:p w14:paraId="765A24C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603500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r>
      <w:tr w:rsidR="0045028A" w:rsidRPr="001531A8" w14:paraId="2ADE5D59" w14:textId="227106C7" w:rsidTr="0045028A">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1F1FD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277" w:type="dxa"/>
            <w:tcBorders>
              <w:top w:val="nil"/>
              <w:left w:val="nil"/>
              <w:bottom w:val="single" w:sz="8" w:space="0" w:color="4472C4"/>
              <w:right w:val="single" w:sz="8" w:space="0" w:color="auto"/>
            </w:tcBorders>
            <w:shd w:val="clear" w:color="auto" w:fill="auto"/>
            <w:tcMar>
              <w:top w:w="0" w:type="dxa"/>
              <w:left w:w="108" w:type="dxa"/>
              <w:bottom w:w="0" w:type="dxa"/>
              <w:right w:w="108" w:type="dxa"/>
            </w:tcMar>
          </w:tcPr>
          <w:p w14:paraId="3814794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7C94C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A64217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E6461D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C09605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025" w:type="dxa"/>
            <w:gridSpan w:val="10"/>
            <w:tcBorders>
              <w:top w:val="single" w:sz="8" w:space="0" w:color="auto"/>
              <w:left w:val="nil"/>
              <w:bottom w:val="single" w:sz="8" w:space="0" w:color="auto"/>
              <w:right w:val="single" w:sz="8" w:space="0" w:color="auto"/>
            </w:tcBorders>
            <w:shd w:val="clear" w:color="auto" w:fill="0080C0"/>
            <w:tcMar>
              <w:top w:w="0" w:type="dxa"/>
              <w:left w:w="108" w:type="dxa"/>
              <w:bottom w:w="0" w:type="dxa"/>
              <w:right w:w="108" w:type="dxa"/>
            </w:tcMar>
          </w:tcPr>
          <w:p w14:paraId="6EC3075B"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2104" w:type="dxa"/>
            <w:gridSpan w:val="10"/>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tcPr>
          <w:p w14:paraId="4AFE2F03"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32" w:type="dxa"/>
            <w:tcBorders>
              <w:top w:val="nil"/>
              <w:left w:val="nil"/>
              <w:bottom w:val="single" w:sz="8" w:space="0" w:color="auto"/>
              <w:right w:val="single" w:sz="8" w:space="0" w:color="auto"/>
            </w:tcBorders>
          </w:tcPr>
          <w:p w14:paraId="145E50C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14E594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5C306D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5E9C24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3CF7CE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9F88D7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F57709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885FA7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6E74D6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29120B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49FE99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5D0FDA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DA0BC0D" w14:textId="77777777" w:rsidR="0045028A"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shd w:val="clear" w:color="auto" w:fill="auto"/>
          </w:tcPr>
          <w:p w14:paraId="5A5B0F4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265AE05" w14:textId="77777777" w:rsidR="0045028A"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1D1DB7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51DC83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r>
      <w:tr w:rsidR="0045028A" w:rsidRPr="001531A8" w14:paraId="1B06FAA4" w14:textId="0F2E1BF5" w:rsidTr="0045028A">
        <w:tc>
          <w:tcPr>
            <w:tcW w:w="1111"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2FAFDA6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r w:rsidRPr="007E18CD">
              <w:rPr>
                <w:rFonts w:asciiTheme="minorHAnsi" w:hAnsiTheme="minorHAnsi" w:cstheme="minorHAnsi"/>
                <w:color w:val="FF0000"/>
                <w:sz w:val="12"/>
                <w:szCs w:val="12"/>
                <w:lang w:eastAsia="en-GB"/>
              </w:rPr>
              <w:t>NPUSCH Format 2 Disabled</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85973D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ABCAB5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306B61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385AAF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9FC883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019E1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19929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1AAA3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FFD7C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055C5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B50D5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C927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B1E3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22487" w14:textId="77777777" w:rsidR="0045028A" w:rsidRPr="001531A8" w:rsidRDefault="0045028A"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02A02"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855D5"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01B4AD" w14:textId="77777777" w:rsidR="0045028A" w:rsidRPr="001531A8" w:rsidRDefault="0045028A"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7D4B0E"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B53BD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4C491C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419326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5AF21E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AB3C91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E36906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E4FCFA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6DF52D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07A4CC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hideMark/>
          </w:tcPr>
          <w:p w14:paraId="7EE0A1D1"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AACD739"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3C968C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0C516D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40A4F0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A86DBB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2A70F5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E03A23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C73FC1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89BCB5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hideMark/>
          </w:tcPr>
          <w:p w14:paraId="0BD4842D"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2DF7568"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1A8066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260B4FF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76F34D5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r>
      <w:tr w:rsidR="0045028A" w:rsidRPr="001531A8" w14:paraId="35237873" w14:textId="3C3858AF" w:rsidTr="00C03308">
        <w:tc>
          <w:tcPr>
            <w:tcW w:w="534" w:type="dxa"/>
            <w:vMerge w:val="restart"/>
            <w:tcBorders>
              <w:top w:val="nil"/>
              <w:left w:val="single" w:sz="8" w:space="0" w:color="auto"/>
              <w:right w:val="single" w:sz="8" w:space="0" w:color="auto"/>
            </w:tcBorders>
            <w:tcMar>
              <w:top w:w="0" w:type="dxa"/>
              <w:left w:w="108" w:type="dxa"/>
              <w:bottom w:w="0" w:type="dxa"/>
              <w:right w:w="108" w:type="dxa"/>
            </w:tcMar>
          </w:tcPr>
          <w:p w14:paraId="75CA30FE" w14:textId="77777777" w:rsidR="0045028A" w:rsidRPr="007E18CD" w:rsidRDefault="0045028A"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For HARQ Process #0</w:t>
            </w:r>
          </w:p>
        </w:tc>
        <w:tc>
          <w:tcPr>
            <w:tcW w:w="577" w:type="dxa"/>
            <w:tcBorders>
              <w:top w:val="nil"/>
              <w:left w:val="single" w:sz="8" w:space="0" w:color="auto"/>
              <w:bottom w:val="single" w:sz="8" w:space="0" w:color="4472C4"/>
              <w:right w:val="single" w:sz="8" w:space="0" w:color="auto"/>
            </w:tcBorders>
          </w:tcPr>
          <w:p w14:paraId="68C66670" w14:textId="77777777" w:rsidR="0045028A" w:rsidRPr="007E18CD" w:rsidRDefault="0045028A"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E54B6F9"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108" w:type="dxa"/>
            <w:gridSpan w:val="4"/>
            <w:tcBorders>
              <w:top w:val="nil"/>
              <w:left w:val="nil"/>
              <w:bottom w:val="single" w:sz="8" w:space="0" w:color="4472C4"/>
              <w:right w:val="single" w:sz="8" w:space="0" w:color="auto"/>
            </w:tcBorders>
            <w:tcMar>
              <w:top w:w="0" w:type="dxa"/>
              <w:left w:w="108" w:type="dxa"/>
              <w:bottom w:w="0" w:type="dxa"/>
              <w:right w:w="108" w:type="dxa"/>
            </w:tcMar>
          </w:tcPr>
          <w:p w14:paraId="32FC3198"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07647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617A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E717A6"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82FFF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A182B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2068D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63E3F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2C5F7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57BDBD" w14:textId="77777777" w:rsidR="0045028A" w:rsidRPr="001531A8" w:rsidRDefault="0045028A"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6BD26"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632B33"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D3FE8" w14:textId="77777777" w:rsidR="0045028A" w:rsidRPr="001531A8" w:rsidRDefault="0045028A"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099533"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ADB15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C798BD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DF7394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05E632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00E34F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C11EBD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692C0A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6F4824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D36DAE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C79769D"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AC82792"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BA2F144"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50EA6C1"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E200711"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DBBDF8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B7C364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73A5C90"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4FDF14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D1F13E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C4A70C9"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528" w:type="dxa"/>
            <w:gridSpan w:val="4"/>
            <w:tcBorders>
              <w:top w:val="single" w:sz="8" w:space="0" w:color="auto"/>
              <w:left w:val="nil"/>
              <w:bottom w:val="single" w:sz="8" w:space="0" w:color="auto"/>
              <w:right w:val="single" w:sz="8" w:space="0" w:color="auto"/>
            </w:tcBorders>
            <w:shd w:val="clear" w:color="auto" w:fill="auto"/>
          </w:tcPr>
          <w:p w14:paraId="58AEF3A9" w14:textId="44BE5B65" w:rsidR="0045028A" w:rsidRDefault="0045028A" w:rsidP="0045028A">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r>
      <w:tr w:rsidR="0045028A" w:rsidRPr="001531A8" w14:paraId="119688BF" w14:textId="1D61F465" w:rsidTr="00C03308">
        <w:tc>
          <w:tcPr>
            <w:tcW w:w="534" w:type="dxa"/>
            <w:vMerge/>
            <w:tcBorders>
              <w:left w:val="single" w:sz="8" w:space="0" w:color="auto"/>
              <w:bottom w:val="single" w:sz="8" w:space="0" w:color="4472C4"/>
              <w:right w:val="single" w:sz="8" w:space="0" w:color="auto"/>
            </w:tcBorders>
            <w:tcMar>
              <w:top w:w="0" w:type="dxa"/>
              <w:left w:w="108" w:type="dxa"/>
              <w:bottom w:w="0" w:type="dxa"/>
              <w:right w:w="108" w:type="dxa"/>
            </w:tcMar>
          </w:tcPr>
          <w:p w14:paraId="2CD0A168" w14:textId="77777777" w:rsidR="0045028A" w:rsidRPr="007E18CD" w:rsidRDefault="0045028A"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5ACCCD26" w14:textId="5CEC8CD5" w:rsidR="0045028A" w:rsidRPr="007E18CD" w:rsidRDefault="0045028A"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3F6DAF">
              <w:rPr>
                <w:sz w:val="12"/>
                <w:szCs w:val="12"/>
              </w:rPr>
              <w:t xml:space="preserve">subframe </w:t>
            </w:r>
            <w:r w:rsidRPr="003F6DAF">
              <w:rPr>
                <w:i/>
                <w:sz w:val="12"/>
                <w:szCs w:val="12"/>
              </w:rPr>
              <w:t>n+1</w:t>
            </w:r>
            <w:r w:rsidRPr="003F6DAF">
              <w:rPr>
                <w:sz w:val="12"/>
                <w:szCs w:val="12"/>
              </w:rPr>
              <w:t xml:space="preserve"> to subframe </w:t>
            </w:r>
            <w:r w:rsidRPr="003F6DAF">
              <w:rPr>
                <w:i/>
                <w:sz w:val="12"/>
                <w:szCs w:val="12"/>
              </w:rPr>
              <w:t>n+12</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DE717B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586FEA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6E37D9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056FE6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46A6D6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F3631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CB1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D5FC3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3A8EC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84EB6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475FE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35FA9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DAD05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767104" w14:textId="77777777" w:rsidR="0045028A" w:rsidRPr="001531A8" w:rsidRDefault="0045028A"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DA8C22"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2368" w:type="dxa"/>
            <w:gridSpan w:val="12"/>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A81046D" w14:textId="77777777" w:rsidR="0045028A"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12ms</w:t>
            </w:r>
          </w:p>
          <w:p w14:paraId="133EBA7D" w14:textId="129370DD"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r w:rsidRPr="003F6DAF">
              <w:rPr>
                <w:rFonts w:asciiTheme="minorHAnsi" w:hAnsiTheme="minorHAnsi" w:cstheme="minorHAnsi"/>
                <w:sz w:val="12"/>
                <w:szCs w:val="12"/>
                <w:lang w:eastAsia="en-GB"/>
              </w:rPr>
              <w:t>“</w:t>
            </w:r>
            <w:proofErr w:type="gramStart"/>
            <w:r w:rsidRPr="003F6DAF">
              <w:rPr>
                <w:sz w:val="12"/>
                <w:szCs w:val="12"/>
              </w:rPr>
              <w:t>the</w:t>
            </w:r>
            <w:proofErr w:type="gramEnd"/>
            <w:r w:rsidRPr="003F6DAF">
              <w:rPr>
                <w:sz w:val="12"/>
                <w:szCs w:val="12"/>
              </w:rPr>
              <w:t xml:space="preserve"> UE is not required to monitor NPDCCH</w:t>
            </w:r>
            <w:r w:rsidRPr="003F6DAF">
              <w:rPr>
                <w:rFonts w:asciiTheme="minorHAnsi" w:hAnsiTheme="minorHAnsi" w:cstheme="minorHAnsi"/>
                <w:sz w:val="12"/>
                <w:szCs w:val="12"/>
                <w:lang w:eastAsia="en-GB"/>
              </w:rPr>
              <w:t>”</w:t>
            </w:r>
          </w:p>
        </w:tc>
        <w:tc>
          <w:tcPr>
            <w:tcW w:w="132" w:type="dxa"/>
            <w:tcBorders>
              <w:top w:val="single" w:sz="8" w:space="0" w:color="auto"/>
              <w:left w:val="nil"/>
              <w:bottom w:val="single" w:sz="8" w:space="0" w:color="auto"/>
              <w:right w:val="single" w:sz="8" w:space="0" w:color="auto"/>
            </w:tcBorders>
            <w:shd w:val="clear" w:color="auto" w:fill="auto"/>
          </w:tcPr>
          <w:p w14:paraId="6885017C"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196D51A"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27A253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2F319A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32C17F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DA0926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41D8FA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D1CCB6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4B481D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BE6EBC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4EF1750"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35E4DDA"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3DD6C5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00928F77"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51E9964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r>
      <w:tr w:rsidR="0045028A" w:rsidRPr="001531A8" w14:paraId="06827E41" w14:textId="6168B27A" w:rsidTr="00C03308">
        <w:tc>
          <w:tcPr>
            <w:tcW w:w="534" w:type="dxa"/>
            <w:vMerge w:val="restart"/>
            <w:tcBorders>
              <w:top w:val="nil"/>
              <w:left w:val="single" w:sz="8" w:space="0" w:color="auto"/>
              <w:right w:val="single" w:sz="8" w:space="0" w:color="auto"/>
            </w:tcBorders>
            <w:tcMar>
              <w:top w:w="0" w:type="dxa"/>
              <w:left w:w="108" w:type="dxa"/>
              <w:bottom w:w="0" w:type="dxa"/>
              <w:right w:w="108" w:type="dxa"/>
            </w:tcMar>
          </w:tcPr>
          <w:p w14:paraId="5708C9EC" w14:textId="77777777" w:rsidR="0045028A" w:rsidRPr="007E18CD" w:rsidRDefault="0045028A"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lastRenderedPageBreak/>
              <w:t>For HARQ Process #</w:t>
            </w:r>
            <w:r>
              <w:rPr>
                <w:rFonts w:asciiTheme="minorHAnsi" w:hAnsiTheme="minorHAnsi" w:cstheme="minorHAnsi"/>
                <w:sz w:val="12"/>
                <w:szCs w:val="12"/>
                <w:lang w:eastAsia="en-GB"/>
              </w:rPr>
              <w:t>1</w:t>
            </w:r>
          </w:p>
        </w:tc>
        <w:tc>
          <w:tcPr>
            <w:tcW w:w="577" w:type="dxa"/>
            <w:tcBorders>
              <w:top w:val="nil"/>
              <w:left w:val="single" w:sz="8" w:space="0" w:color="auto"/>
              <w:bottom w:val="single" w:sz="8" w:space="0" w:color="4472C4"/>
              <w:right w:val="single" w:sz="8" w:space="0" w:color="auto"/>
            </w:tcBorders>
          </w:tcPr>
          <w:p w14:paraId="07375378" w14:textId="77777777" w:rsidR="0045028A" w:rsidRPr="007E18CD" w:rsidRDefault="0045028A"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089CD9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1A170D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9722D6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3579" w:type="dxa"/>
            <w:gridSpan w:val="12"/>
            <w:tcBorders>
              <w:top w:val="nil"/>
              <w:left w:val="nil"/>
              <w:bottom w:val="single" w:sz="8" w:space="0" w:color="4472C4"/>
              <w:right w:val="single" w:sz="8" w:space="0" w:color="auto"/>
            </w:tcBorders>
            <w:tcMar>
              <w:top w:w="0" w:type="dxa"/>
              <w:left w:w="108" w:type="dxa"/>
              <w:bottom w:w="0" w:type="dxa"/>
              <w:right w:w="108" w:type="dxa"/>
            </w:tcMar>
          </w:tcPr>
          <w:p w14:paraId="0C45F2FD" w14:textId="77777777" w:rsidR="0045028A" w:rsidRPr="001531A8" w:rsidRDefault="0045028A" w:rsidP="00704657">
            <w:pPr>
              <w:overflowPunct/>
              <w:autoSpaceDE/>
              <w:autoSpaceDN/>
              <w:adjustRightInd/>
              <w:spacing w:after="0"/>
              <w:jc w:val="center"/>
              <w:textAlignment w:val="auto"/>
              <w:rPr>
                <w:rFonts w:asciiTheme="minorHAnsi" w:eastAsia="Times New Roman" w:hAnsiTheme="minorHAnsi" w:cstheme="minorHAnsi"/>
                <w:sz w:val="12"/>
                <w:szCs w:val="12"/>
                <w:lang w:val="sv-SE" w:eastAsia="sv-SE"/>
              </w:rPr>
            </w:pPr>
            <w:r>
              <w:rPr>
                <w:rFonts w:asciiTheme="minorHAnsi" w:eastAsia="Times New Roman" w:hAnsiTheme="minorHAnsi" w:cstheme="minorHAnsi"/>
                <w:sz w:val="12"/>
                <w:szCs w:val="12"/>
                <w:lang w:val="sv-SE" w:eastAsia="sv-SE"/>
              </w:rPr>
              <w:t>12ms</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878A75"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D78D55" w14:textId="77777777" w:rsidR="0045028A" w:rsidRPr="001531A8" w:rsidRDefault="0045028A"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55E632" w14:textId="77777777" w:rsidR="0045028A" w:rsidRPr="001531A8" w:rsidRDefault="0045028A"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6CF0B8"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C5B93B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03DC6C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CFF2265"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2D76AAF"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D24AE4A"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33F2A5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94752A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03B63E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1738F05"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9429C52"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B739FAC"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DC177ED"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222B54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890900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CF30BDB"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31AA5D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05828A4"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11BF861"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9147D6F"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21D0BE6" w14:textId="77777777" w:rsidR="0045028A" w:rsidRPr="001531A8" w:rsidRDefault="0045028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F5E6B12"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243E5653"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0893D42E" w14:textId="77777777" w:rsidR="0045028A" w:rsidRPr="001531A8" w:rsidRDefault="0045028A" w:rsidP="00704657">
            <w:pPr>
              <w:overflowPunct/>
              <w:autoSpaceDE/>
              <w:autoSpaceDN/>
              <w:adjustRightInd/>
              <w:spacing w:after="0"/>
              <w:textAlignment w:val="auto"/>
              <w:rPr>
                <w:rFonts w:asciiTheme="minorHAnsi" w:hAnsiTheme="minorHAnsi" w:cstheme="minorHAnsi"/>
                <w:sz w:val="12"/>
                <w:szCs w:val="12"/>
                <w:lang w:eastAsia="en-GB"/>
              </w:rPr>
            </w:pPr>
          </w:p>
        </w:tc>
      </w:tr>
      <w:tr w:rsidR="0045028A" w:rsidRPr="001531A8" w14:paraId="61F85A07" w14:textId="0B40C61A" w:rsidTr="00C03308">
        <w:tc>
          <w:tcPr>
            <w:tcW w:w="534" w:type="dxa"/>
            <w:vMerge/>
            <w:tcBorders>
              <w:left w:val="single" w:sz="8" w:space="0" w:color="auto"/>
              <w:bottom w:val="single" w:sz="8" w:space="0" w:color="4472C4"/>
              <w:right w:val="single" w:sz="8" w:space="0" w:color="auto"/>
            </w:tcBorders>
            <w:tcMar>
              <w:top w:w="0" w:type="dxa"/>
              <w:left w:w="108" w:type="dxa"/>
              <w:bottom w:w="0" w:type="dxa"/>
              <w:right w:w="108" w:type="dxa"/>
            </w:tcMar>
          </w:tcPr>
          <w:p w14:paraId="57323DC2" w14:textId="77777777" w:rsidR="0045028A" w:rsidRPr="007E18CD" w:rsidRDefault="0045028A" w:rsidP="003F6DAF">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3D781385" w14:textId="64E6E785" w:rsidR="0045028A" w:rsidRPr="007E18CD" w:rsidRDefault="0045028A" w:rsidP="003F6DAF">
            <w:pPr>
              <w:overflowPunct/>
              <w:autoSpaceDE/>
              <w:autoSpaceDN/>
              <w:adjustRightInd/>
              <w:spacing w:after="0"/>
              <w:textAlignment w:val="auto"/>
              <w:rPr>
                <w:rFonts w:asciiTheme="minorHAnsi" w:hAnsiTheme="minorHAnsi" w:cstheme="minorHAnsi"/>
                <w:color w:val="FF0000"/>
                <w:sz w:val="12"/>
                <w:szCs w:val="12"/>
                <w:lang w:eastAsia="en-GB"/>
              </w:rPr>
            </w:pPr>
            <w:r w:rsidRPr="003F6DAF">
              <w:rPr>
                <w:sz w:val="12"/>
                <w:szCs w:val="12"/>
              </w:rPr>
              <w:t xml:space="preserve">subframe </w:t>
            </w:r>
            <w:r w:rsidRPr="003F6DAF">
              <w:rPr>
                <w:i/>
                <w:sz w:val="12"/>
                <w:szCs w:val="12"/>
              </w:rPr>
              <w:t>n+1</w:t>
            </w:r>
            <w:r w:rsidRPr="003F6DAF">
              <w:rPr>
                <w:sz w:val="12"/>
                <w:szCs w:val="12"/>
              </w:rPr>
              <w:t xml:space="preserve"> to subframe </w:t>
            </w:r>
            <w:r w:rsidRPr="003F6DAF">
              <w:rPr>
                <w:i/>
                <w:sz w:val="12"/>
                <w:szCs w:val="12"/>
              </w:rPr>
              <w:t>n+12</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2919934"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6AF2918"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8C86950"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B7D1BF8"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9A6E73D"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01E999"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B75A4"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8CCD00"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4A3A"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A942A5"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6EC142"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F8CAA2"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827189"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A4F96" w14:textId="77777777" w:rsidR="0045028A" w:rsidRPr="001531A8" w:rsidRDefault="0045028A" w:rsidP="003F6DAF">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DC1DE3" w14:textId="77777777" w:rsidR="0045028A" w:rsidRPr="001531A8" w:rsidRDefault="0045028A" w:rsidP="003F6DAF">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73529F" w14:textId="77777777" w:rsidR="0045028A" w:rsidRPr="001531A8" w:rsidRDefault="0045028A" w:rsidP="003F6DAF">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3590B3" w14:textId="77777777" w:rsidR="0045028A" w:rsidRPr="001531A8" w:rsidRDefault="0045028A" w:rsidP="003F6DAF">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D154A" w14:textId="77777777" w:rsidR="0045028A" w:rsidRPr="001531A8" w:rsidRDefault="0045028A" w:rsidP="003F6DAF">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26B83B"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F76B568"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81A27ED"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E7AA470"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203218B"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D2ACEED"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E51367C"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584" w:type="dxa"/>
            <w:gridSpan w:val="12"/>
            <w:tcBorders>
              <w:top w:val="single" w:sz="8" w:space="0" w:color="auto"/>
              <w:left w:val="nil"/>
              <w:bottom w:val="single" w:sz="8" w:space="0" w:color="auto"/>
              <w:right w:val="single" w:sz="8" w:space="0" w:color="auto"/>
            </w:tcBorders>
            <w:shd w:val="clear" w:color="auto" w:fill="FF0000"/>
          </w:tcPr>
          <w:p w14:paraId="40A03F01" w14:textId="77777777" w:rsidR="0045028A" w:rsidRPr="003F6DAF" w:rsidRDefault="0045028A" w:rsidP="003F6DAF">
            <w:pPr>
              <w:overflowPunct/>
              <w:autoSpaceDE/>
              <w:autoSpaceDN/>
              <w:adjustRightInd/>
              <w:spacing w:after="0"/>
              <w:jc w:val="center"/>
              <w:textAlignment w:val="auto"/>
              <w:rPr>
                <w:rFonts w:asciiTheme="minorHAnsi" w:hAnsiTheme="minorHAnsi" w:cstheme="minorHAnsi"/>
                <w:sz w:val="12"/>
                <w:szCs w:val="12"/>
                <w:lang w:eastAsia="en-GB"/>
              </w:rPr>
            </w:pPr>
            <w:r w:rsidRPr="003F6DAF">
              <w:rPr>
                <w:rFonts w:asciiTheme="minorHAnsi" w:hAnsiTheme="minorHAnsi" w:cstheme="minorHAnsi"/>
                <w:sz w:val="12"/>
                <w:szCs w:val="12"/>
                <w:lang w:eastAsia="en-GB"/>
              </w:rPr>
              <w:t>12ms</w:t>
            </w:r>
          </w:p>
          <w:p w14:paraId="6CA40B76" w14:textId="254475E6" w:rsidR="0045028A" w:rsidRPr="003F6DAF" w:rsidRDefault="0045028A" w:rsidP="003F6DAF">
            <w:pPr>
              <w:overflowPunct/>
              <w:autoSpaceDE/>
              <w:autoSpaceDN/>
              <w:adjustRightInd/>
              <w:spacing w:after="0"/>
              <w:jc w:val="center"/>
              <w:textAlignment w:val="auto"/>
              <w:rPr>
                <w:rFonts w:asciiTheme="minorHAnsi" w:hAnsiTheme="minorHAnsi" w:cstheme="minorHAnsi"/>
                <w:sz w:val="12"/>
                <w:szCs w:val="12"/>
                <w:lang w:eastAsia="en-GB"/>
              </w:rPr>
            </w:pPr>
            <w:r w:rsidRPr="003F6DAF">
              <w:rPr>
                <w:rFonts w:asciiTheme="minorHAnsi" w:hAnsiTheme="minorHAnsi" w:cstheme="minorHAnsi"/>
                <w:sz w:val="12"/>
                <w:szCs w:val="12"/>
                <w:lang w:eastAsia="en-GB"/>
              </w:rPr>
              <w:t>“</w:t>
            </w:r>
            <w:proofErr w:type="gramStart"/>
            <w:r w:rsidRPr="003F6DAF">
              <w:rPr>
                <w:sz w:val="12"/>
                <w:szCs w:val="12"/>
              </w:rPr>
              <w:t>the</w:t>
            </w:r>
            <w:proofErr w:type="gramEnd"/>
            <w:r w:rsidRPr="003F6DAF">
              <w:rPr>
                <w:sz w:val="12"/>
                <w:szCs w:val="12"/>
              </w:rPr>
              <w:t xml:space="preserve"> UE is not required to monitor NPDCCH</w:t>
            </w:r>
            <w:r w:rsidRPr="003F6DAF">
              <w:rPr>
                <w:rFonts w:asciiTheme="minorHAnsi" w:hAnsiTheme="minorHAnsi" w:cstheme="minorHAnsi"/>
                <w:sz w:val="12"/>
                <w:szCs w:val="12"/>
                <w:lang w:eastAsia="en-GB"/>
              </w:rPr>
              <w:t>”</w:t>
            </w:r>
          </w:p>
        </w:tc>
        <w:tc>
          <w:tcPr>
            <w:tcW w:w="132" w:type="dxa"/>
            <w:tcBorders>
              <w:top w:val="single" w:sz="8" w:space="0" w:color="auto"/>
              <w:left w:val="nil"/>
              <w:bottom w:val="single" w:sz="8" w:space="0" w:color="auto"/>
              <w:right w:val="single" w:sz="8" w:space="0" w:color="auto"/>
            </w:tcBorders>
            <w:shd w:val="clear" w:color="auto" w:fill="auto"/>
          </w:tcPr>
          <w:p w14:paraId="6C589497" w14:textId="77777777" w:rsidR="0045028A" w:rsidRPr="001531A8" w:rsidRDefault="0045028A" w:rsidP="003F6DAF">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D496642" w14:textId="77777777" w:rsidR="0045028A" w:rsidRPr="001531A8" w:rsidRDefault="0045028A" w:rsidP="003F6DAF">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3E4C021"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19AB76C6"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4EFC7FA7" w14:textId="77777777" w:rsidR="0045028A" w:rsidRPr="001531A8" w:rsidRDefault="0045028A" w:rsidP="003F6DAF">
            <w:pPr>
              <w:overflowPunct/>
              <w:autoSpaceDE/>
              <w:autoSpaceDN/>
              <w:adjustRightInd/>
              <w:spacing w:after="0"/>
              <w:textAlignment w:val="auto"/>
              <w:rPr>
                <w:rFonts w:asciiTheme="minorHAnsi" w:hAnsiTheme="minorHAnsi" w:cstheme="minorHAnsi"/>
                <w:sz w:val="12"/>
                <w:szCs w:val="12"/>
                <w:lang w:eastAsia="en-GB"/>
              </w:rPr>
            </w:pPr>
          </w:p>
        </w:tc>
      </w:tr>
    </w:tbl>
    <w:p w14:paraId="02ECE3D0" w14:textId="77777777" w:rsidR="00F36862" w:rsidRPr="001531A8" w:rsidRDefault="00F36862" w:rsidP="00F36862">
      <w:pPr>
        <w:overflowPunct/>
        <w:autoSpaceDE/>
        <w:autoSpaceDN/>
        <w:adjustRightInd/>
        <w:spacing w:after="0"/>
        <w:ind w:left="2608"/>
        <w:textAlignment w:val="auto"/>
        <w:rPr>
          <w:rFonts w:ascii="Calibri" w:eastAsia="Calibri" w:hAnsi="Calibri" w:cs="Calibri"/>
          <w:sz w:val="22"/>
          <w:szCs w:val="22"/>
          <w:lang w:val="en-US" w:eastAsia="en-US"/>
        </w:rPr>
      </w:pPr>
    </w:p>
    <w:p w14:paraId="54EC4D0C" w14:textId="265F4DF5" w:rsidR="00F36862" w:rsidRPr="00462CF3" w:rsidRDefault="00F36862" w:rsidP="00F36862">
      <w:pPr>
        <w:pStyle w:val="Observation"/>
        <w:ind w:left="1701" w:hanging="1701"/>
      </w:pPr>
      <w:bookmarkStart w:id="16" w:name="_Toc115380687"/>
      <w:r>
        <w:t>The “legacy statement” in TS 36.213 clause 16.6 when “</w:t>
      </w:r>
      <w:r w:rsidRPr="00F97614">
        <w:rPr>
          <w:i/>
          <w:iCs/>
        </w:rPr>
        <w:t>the UE is not required to transmit a corresponding NPUSCH format 2</w:t>
      </w:r>
      <w:r>
        <w:t xml:space="preserve">” is </w:t>
      </w:r>
      <w:proofErr w:type="gramStart"/>
      <w:r>
        <w:t>similar to</w:t>
      </w:r>
      <w:proofErr w:type="gramEnd"/>
      <w:r>
        <w:t xml:space="preserve"> “Option 1”, however </w:t>
      </w:r>
      <w:r w:rsidRPr="00F97614">
        <w:t>“Option 1” explicitly mentions “</w:t>
      </w:r>
      <w:r w:rsidRPr="003C1FA5">
        <w:rPr>
          <w:u w:val="single"/>
        </w:rPr>
        <w:t>for that HARQ process</w:t>
      </w:r>
      <w:r w:rsidRPr="00F97614">
        <w:t xml:space="preserve">” </w:t>
      </w:r>
      <w:r>
        <w:t>whereas the “legacy statement” doesn’t</w:t>
      </w:r>
      <w:r w:rsidR="003C1FA5">
        <w:t xml:space="preserve"> mention it</w:t>
      </w:r>
      <w:r>
        <w:t xml:space="preserve">, </w:t>
      </w:r>
      <w:r w:rsidRPr="00F97614">
        <w:t>which makes the</w:t>
      </w:r>
      <w:r>
        <w:t xml:space="preserve">m </w:t>
      </w:r>
      <w:r w:rsidRPr="00F97614">
        <w:t>different</w:t>
      </w:r>
      <w:r>
        <w:t>.</w:t>
      </w:r>
      <w:bookmarkEnd w:id="16"/>
    </w:p>
    <w:p w14:paraId="2AB26C34" w14:textId="0FE680FA" w:rsidR="00915410" w:rsidRDefault="00F36862" w:rsidP="00F36862">
      <w:pPr>
        <w:pStyle w:val="Observation"/>
        <w:ind w:left="1701" w:hanging="1701"/>
      </w:pPr>
      <w:bookmarkStart w:id="17" w:name="_Toc115380688"/>
      <w:r>
        <w:t>When there are two HARQ processes in use</w:t>
      </w:r>
      <w:r w:rsidR="00C039FC">
        <w:t xml:space="preserve"> with “HARQ feedback disabled”</w:t>
      </w:r>
      <w:r>
        <w:t xml:space="preserve">, the “legacy statement” in TS 36.213 clause 16.6 </w:t>
      </w:r>
      <w:r w:rsidR="00C039FC">
        <w:t>extends the</w:t>
      </w:r>
      <w:r>
        <w:t xml:space="preserve"> DL monitoring </w:t>
      </w:r>
      <w:r w:rsidR="00494B77">
        <w:t>towards</w:t>
      </w:r>
      <w:r w:rsidR="003C1A32">
        <w:t xml:space="preserve"> the subsequent transmission of </w:t>
      </w:r>
      <w:r w:rsidR="00494B77">
        <w:t xml:space="preserve">NPDCCH </w:t>
      </w:r>
      <w:r w:rsidR="00E57F43">
        <w:t xml:space="preserve">for </w:t>
      </w:r>
      <w:r w:rsidR="003C1A32">
        <w:t>the first HARQ processes</w:t>
      </w:r>
      <w:r w:rsidR="00915410">
        <w:t>.</w:t>
      </w:r>
      <w:bookmarkEnd w:id="17"/>
    </w:p>
    <w:p w14:paraId="08549ED4" w14:textId="4DA3AEF0" w:rsidR="00F36862" w:rsidRDefault="00915410" w:rsidP="002A5ED2">
      <w:pPr>
        <w:pStyle w:val="Observation"/>
        <w:numPr>
          <w:ilvl w:val="0"/>
          <w:numId w:val="26"/>
        </w:numPr>
      </w:pPr>
      <w:bookmarkStart w:id="18" w:name="_Toc115380689"/>
      <w:r>
        <w:t>This happens because</w:t>
      </w:r>
      <w:r w:rsidR="002A5ED2">
        <w:t xml:space="preserve"> </w:t>
      </w:r>
      <w:r w:rsidR="00006AD5">
        <w:t xml:space="preserve">the </w:t>
      </w:r>
      <w:r w:rsidR="002A5ED2">
        <w:t>no</w:t>
      </w:r>
      <w:r w:rsidR="10613801">
        <w:t>-</w:t>
      </w:r>
      <w:r w:rsidR="002A5ED2">
        <w:t>monitoring period for the first HARQ process ends-up “</w:t>
      </w:r>
      <w:r w:rsidR="00006AD5">
        <w:t xml:space="preserve">semi-overlapped </w:t>
      </w:r>
      <w:r w:rsidR="009A77BB">
        <w:t xml:space="preserve">and </w:t>
      </w:r>
      <w:r w:rsidR="002A5ED2">
        <w:t>concatenated” with the no</w:t>
      </w:r>
      <w:r w:rsidR="2827B31E">
        <w:t>-</w:t>
      </w:r>
      <w:r w:rsidR="002A5ED2">
        <w:t xml:space="preserve">monitoring period for the second HARQ process. </w:t>
      </w:r>
      <w:r w:rsidR="00B06BB8">
        <w:t xml:space="preserve">This behaviour </w:t>
      </w:r>
      <w:r w:rsidR="00BB2B20">
        <w:t xml:space="preserve">occurs because </w:t>
      </w:r>
      <w:r w:rsidR="00F36862">
        <w:t xml:space="preserve">the </w:t>
      </w:r>
      <w:r w:rsidR="00B06BB8">
        <w:t>“</w:t>
      </w:r>
      <w:r w:rsidR="00F36862">
        <w:t>legacy statement</w:t>
      </w:r>
      <w:r w:rsidR="00B06BB8">
        <w:t>”</w:t>
      </w:r>
      <w:r w:rsidR="00F36862">
        <w:t xml:space="preserve"> was tailor-made for a “single HARQ process scenario”.</w:t>
      </w:r>
      <w:r w:rsidR="0085519B">
        <w:t xml:space="preserve"> Somehow the result of the “legacy statement” (</w:t>
      </w:r>
      <w:r w:rsidR="0085519B" w:rsidRPr="0085519B">
        <w:t>coincidentally</w:t>
      </w:r>
      <w:r w:rsidR="00AF7329">
        <w:t xml:space="preserve"> because of the “</w:t>
      </w:r>
      <w:r w:rsidR="00006AD5">
        <w:t xml:space="preserve">semi-overlapped </w:t>
      </w:r>
      <w:r w:rsidR="00AF7329">
        <w:t>concatenation”</w:t>
      </w:r>
      <w:r w:rsidR="0085519B">
        <w:t xml:space="preserve">) in the end </w:t>
      </w:r>
      <w:r w:rsidR="005A1EB6">
        <w:t xml:space="preserve">happens to </w:t>
      </w:r>
      <w:r w:rsidR="0085519B">
        <w:t>mimic “option 2”.</w:t>
      </w:r>
      <w:bookmarkEnd w:id="18"/>
      <w:r w:rsidR="0085519B">
        <w:t xml:space="preserve"> </w:t>
      </w:r>
    </w:p>
    <w:p w14:paraId="315DF0DA" w14:textId="60FBDCB4" w:rsidR="00F36862" w:rsidRDefault="00F36862" w:rsidP="00F36862">
      <w:pPr>
        <w:pStyle w:val="Observation"/>
        <w:ind w:left="1701" w:hanging="1701"/>
      </w:pPr>
      <w:bookmarkStart w:id="19" w:name="_Toc115380690"/>
      <w:r>
        <w:t xml:space="preserve">Upon comparing “Option 1”, “Option 2”, and the “legacy statement in TS 36.213 clause 16.6 </w:t>
      </w:r>
      <w:r w:rsidRPr="00F97614">
        <w:t>when the UE is not required to transmit a corresponding NPUSCH format 2”</w:t>
      </w:r>
      <w:r>
        <w:t xml:space="preserve">, it seems that “Option 2” resembles the expected UE behaviour when the “Disabling of HARQ feedback” </w:t>
      </w:r>
      <w:r w:rsidR="003A023B">
        <w:t xml:space="preserve">approach </w:t>
      </w:r>
      <w:r>
        <w:t>is in place.</w:t>
      </w:r>
      <w:bookmarkEnd w:id="19"/>
    </w:p>
    <w:p w14:paraId="7BED99C2" w14:textId="2FE077B1" w:rsidR="00F36862" w:rsidRDefault="00F36862" w:rsidP="00C76E18">
      <w:pPr>
        <w:pStyle w:val="Proposal"/>
      </w:pPr>
      <w:bookmarkStart w:id="20" w:name="_Toc115380708"/>
      <w:r>
        <w:t xml:space="preserve">For NB-IoT, </w:t>
      </w:r>
      <w:r w:rsidRPr="00B26B35">
        <w:t xml:space="preserve">“Option 2” </w:t>
      </w:r>
      <w:r>
        <w:t xml:space="preserve">resembles the expected UE behaviour </w:t>
      </w:r>
      <w:r w:rsidR="00C76E18">
        <w:t xml:space="preserve">where 12ms </w:t>
      </w:r>
      <w:r w:rsidR="00C76E18" w:rsidRPr="00C76E18">
        <w:t>must pass before the potential reception of a subsequent DL scheduling for the “HARQ process(es) with HARQ feedback disabled”</w:t>
      </w:r>
      <w:r w:rsidR="00C76E18">
        <w:t xml:space="preserve">, which works </w:t>
      </w:r>
      <w:r>
        <w:t xml:space="preserve">when </w:t>
      </w:r>
      <w:r w:rsidR="003A023B">
        <w:t xml:space="preserve">either </w:t>
      </w:r>
      <w:r>
        <w:t xml:space="preserve">one HARQ process </w:t>
      </w:r>
      <w:r w:rsidR="003A023B">
        <w:t>or</w:t>
      </w:r>
      <w:r>
        <w:t xml:space="preserve"> two HARQ processes are in use</w:t>
      </w:r>
      <w:r w:rsidR="003A023B">
        <w:t>’,</w:t>
      </w:r>
      <w:r>
        <w:t xml:space="preserve"> and therefore should be the one supported.</w:t>
      </w:r>
      <w:bookmarkEnd w:id="20"/>
    </w:p>
    <w:p w14:paraId="65309B04" w14:textId="77777777" w:rsidR="00F36862" w:rsidRDefault="00F36862" w:rsidP="00B213B9">
      <w:pPr>
        <w:pStyle w:val="Proposal"/>
        <w:numPr>
          <w:ilvl w:val="0"/>
          <w:numId w:val="25"/>
        </w:numPr>
      </w:pPr>
      <w:bookmarkStart w:id="21" w:name="_Toc115380709"/>
      <w:r>
        <w:t>Option 2: UE is not required to monitor NPDCCH in a period of Y(ms) from the end of reception of the last NPDSCH</w:t>
      </w:r>
      <w:bookmarkEnd w:id="21"/>
    </w:p>
    <w:p w14:paraId="14B7C5E4" w14:textId="77777777" w:rsidR="00F36862" w:rsidRDefault="00F36862" w:rsidP="00B213B9">
      <w:pPr>
        <w:pStyle w:val="Proposal"/>
        <w:numPr>
          <w:ilvl w:val="0"/>
          <w:numId w:val="25"/>
        </w:numPr>
      </w:pPr>
      <w:bookmarkStart w:id="22" w:name="_Toc115380710"/>
      <w:r>
        <w:t>Y=12</w:t>
      </w:r>
      <w:bookmarkEnd w:id="22"/>
    </w:p>
    <w:p w14:paraId="553A4E9C" w14:textId="320270E3" w:rsidR="0097069F" w:rsidRDefault="00F36862" w:rsidP="0097069F">
      <w:pPr>
        <w:pStyle w:val="Heading2"/>
      </w:pPr>
      <w:r>
        <w:t>3</w:t>
      </w:r>
      <w:r w:rsidR="0097069F">
        <w:t>.</w:t>
      </w:r>
      <w:r>
        <w:t>2</w:t>
      </w:r>
      <w:r w:rsidR="0097069F">
        <w:tab/>
        <w:t>LTE-MTC on “</w:t>
      </w:r>
      <w:r w:rsidR="0097069F" w:rsidRPr="00DA0F44">
        <w:rPr>
          <w:rFonts w:ascii="Times New Roman" w:hAnsi="Times New Roman"/>
          <w:i/>
          <w:iCs/>
        </w:rPr>
        <w:t>how to support enabling and disabling HARQ feedback for downlink transmissions</w:t>
      </w:r>
      <w:r w:rsidR="0097069F">
        <w:t xml:space="preserve">” </w:t>
      </w:r>
    </w:p>
    <w:p w14:paraId="5552B1F2" w14:textId="62283F94" w:rsidR="0097069F" w:rsidRDefault="0038530E" w:rsidP="00EF76B1">
      <w:pPr>
        <w:jc w:val="both"/>
      </w:pPr>
      <w:r>
        <w:t>Below we provide our view on how to support disabling HARQ feedback for downlink transmissions.</w:t>
      </w:r>
    </w:p>
    <w:p w14:paraId="41F20525" w14:textId="77777777" w:rsidR="00C0403E" w:rsidRDefault="00C0403E" w:rsidP="00C0403E">
      <w:pPr>
        <w:pStyle w:val="Observation"/>
        <w:ind w:left="1701" w:hanging="1701"/>
      </w:pPr>
      <w:bookmarkStart w:id="23" w:name="_Toc115380691"/>
      <w:r>
        <w:t xml:space="preserve">When HARQ feedback is disabled and PUCCH is not transmitted, one key design aspect is the point in time at which </w:t>
      </w:r>
      <w:r w:rsidRPr="0038530E">
        <w:t xml:space="preserve">DL monitoring </w:t>
      </w:r>
      <w:r>
        <w:t>will be</w:t>
      </w:r>
      <w:r w:rsidRPr="0038530E">
        <w:t xml:space="preserve"> allowed </w:t>
      </w:r>
      <w:r>
        <w:t xml:space="preserve">to start </w:t>
      </w:r>
      <w:r w:rsidRPr="0038530E">
        <w:t>t</w:t>
      </w:r>
      <w:r>
        <w:t>owards receiving the</w:t>
      </w:r>
      <w:r w:rsidRPr="0038530E">
        <w:t xml:space="preserve"> subsequent </w:t>
      </w:r>
      <w:r>
        <w:t>M</w:t>
      </w:r>
      <w:r w:rsidRPr="0038530E">
        <w:t xml:space="preserve">PDCCH </w:t>
      </w:r>
      <w:r>
        <w:t>scheduling data.</w:t>
      </w:r>
      <w:bookmarkEnd w:id="23"/>
    </w:p>
    <w:p w14:paraId="7CBC457D" w14:textId="77777777" w:rsidR="00C0403E" w:rsidRDefault="00C0403E" w:rsidP="00C0403E">
      <w:pPr>
        <w:pStyle w:val="Observation"/>
        <w:ind w:left="1701" w:hanging="1701"/>
      </w:pPr>
      <w:bookmarkStart w:id="24" w:name="_Toc115380692"/>
      <w:r>
        <w:t xml:space="preserve">In legacy, there is a delay between the “MPDCCH and the scheduled PDSCH”, afterwards there is </w:t>
      </w:r>
      <w:bookmarkStart w:id="25" w:name="_Hlk104377180"/>
      <w:r>
        <w:t xml:space="preserve">at least a 3 ms delay between the end of PDSCH and the start of </w:t>
      </w:r>
      <w:bookmarkEnd w:id="25"/>
      <w:r>
        <w:t>PUCCH which accounts for sufficient PDSCH decoding time at the device.</w:t>
      </w:r>
      <w:bookmarkEnd w:id="24"/>
    </w:p>
    <w:p w14:paraId="5DC2BF93" w14:textId="77777777" w:rsidR="00C0403E" w:rsidRDefault="00C0403E" w:rsidP="00B213B9">
      <w:pPr>
        <w:pStyle w:val="Observation"/>
        <w:numPr>
          <w:ilvl w:val="0"/>
          <w:numId w:val="20"/>
        </w:numPr>
      </w:pPr>
      <w:bookmarkStart w:id="26" w:name="_Toc115380693"/>
      <w:r>
        <w:t xml:space="preserve">Thus, when HARQ feedback is disabled, </w:t>
      </w:r>
      <w:bookmarkStart w:id="27" w:name="_Hlk104376727"/>
      <w:r>
        <w:t xml:space="preserve">the earliest the DL monitoring should start is </w:t>
      </w:r>
      <w:r w:rsidRPr="00034AFA">
        <w:t>precisely the subframe at which PUCCH would be otherwise transmitted</w:t>
      </w:r>
      <w:bookmarkEnd w:id="27"/>
      <w:r w:rsidRPr="00034AFA">
        <w:t>.</w:t>
      </w:r>
      <w:bookmarkEnd w:id="26"/>
    </w:p>
    <w:p w14:paraId="3D1BEF2D" w14:textId="0E30606A" w:rsidR="00C0403E" w:rsidRDefault="00C0403E" w:rsidP="00B213B9">
      <w:pPr>
        <w:pStyle w:val="Observation"/>
        <w:numPr>
          <w:ilvl w:val="0"/>
          <w:numId w:val="20"/>
        </w:numPr>
      </w:pPr>
      <w:bookmarkStart w:id="28" w:name="_Toc115380694"/>
      <w:r>
        <w:t>Legacy delays</w:t>
      </w:r>
      <w:r w:rsidRPr="009212F8">
        <w:t xml:space="preserve"> </w:t>
      </w:r>
      <w:r>
        <w:t xml:space="preserve">are </w:t>
      </w:r>
      <w:r w:rsidRPr="009212F8">
        <w:t xml:space="preserve">an important part of what makes the IoT technologies </w:t>
      </w:r>
      <w:r>
        <w:t>have a</w:t>
      </w:r>
      <w:r w:rsidRPr="009212F8">
        <w:t xml:space="preserve"> low complexity and </w:t>
      </w:r>
      <w:r>
        <w:t xml:space="preserve">a </w:t>
      </w:r>
      <w:r w:rsidRPr="009212F8">
        <w:t>low cost</w:t>
      </w:r>
      <w:r>
        <w:t>.</w:t>
      </w:r>
      <w:bookmarkEnd w:id="28"/>
    </w:p>
    <w:p w14:paraId="5B8B1978" w14:textId="794A90AD" w:rsidR="00C0403E" w:rsidRDefault="00C0403E" w:rsidP="00EF76B1">
      <w:pPr>
        <w:jc w:val="both"/>
      </w:pPr>
      <w:r>
        <w:t xml:space="preserve">In line with the analysis performed in section 3.1, </w:t>
      </w:r>
      <w:r w:rsidR="005C6199">
        <w:t xml:space="preserve">now within the context of LTE-MTC </w:t>
      </w:r>
      <w:r>
        <w:t>“Option 2” with Y=</w:t>
      </w:r>
      <w:r w:rsidR="005410A8">
        <w:t>3 ms</w:t>
      </w:r>
      <w:r w:rsidR="00F46683">
        <w:t xml:space="preserve"> </w:t>
      </w:r>
      <w:r>
        <w:t>can be used</w:t>
      </w:r>
      <w:r w:rsidR="00F46683" w:rsidRPr="00F46683">
        <w:t xml:space="preserve"> </w:t>
      </w:r>
      <w:r w:rsidR="00F46683">
        <w:t>to support disabling HARQ feedback for downlink transmissions.</w:t>
      </w:r>
    </w:p>
    <w:p w14:paraId="3A982467" w14:textId="2699C6C8" w:rsidR="00C0403E" w:rsidRDefault="00C0403E" w:rsidP="00C0403E">
      <w:pPr>
        <w:jc w:val="both"/>
      </w:pPr>
      <w:r>
        <w:t>Option 2 adapted to LTE-MTC:</w:t>
      </w:r>
    </w:p>
    <w:tbl>
      <w:tblPr>
        <w:tblStyle w:val="TableGrid"/>
        <w:tblW w:w="0" w:type="auto"/>
        <w:tblLook w:val="04A0" w:firstRow="1" w:lastRow="0" w:firstColumn="1" w:lastColumn="0" w:noHBand="0" w:noVBand="1"/>
      </w:tblPr>
      <w:tblGrid>
        <w:gridCol w:w="9629"/>
      </w:tblGrid>
      <w:tr w:rsidR="00C0403E" w14:paraId="59CE6178" w14:textId="77777777" w:rsidTr="00704657">
        <w:tc>
          <w:tcPr>
            <w:tcW w:w="9629" w:type="dxa"/>
          </w:tcPr>
          <w:p w14:paraId="79B953D0" w14:textId="6232576C" w:rsidR="00C0403E" w:rsidRPr="00632C88" w:rsidRDefault="00C0403E" w:rsidP="00B213B9">
            <w:pPr>
              <w:numPr>
                <w:ilvl w:val="0"/>
                <w:numId w:val="24"/>
              </w:numPr>
              <w:overflowPunct/>
              <w:autoSpaceDE/>
              <w:autoSpaceDN/>
              <w:adjustRightInd/>
              <w:spacing w:after="0"/>
              <w:textAlignment w:val="auto"/>
              <w:rPr>
                <w:sz w:val="16"/>
                <w:szCs w:val="16"/>
                <w:lang w:val="en-US" w:eastAsia="x-none"/>
              </w:rPr>
            </w:pPr>
            <w:r w:rsidRPr="00632C88">
              <w:rPr>
                <w:sz w:val="16"/>
                <w:szCs w:val="16"/>
                <w:lang w:val="en-US" w:eastAsia="x-none"/>
              </w:rPr>
              <w:t>Option 2: UE is not required to monitor PDCCH in a period of Y(ms) from the end of reception of the last PDSCH</w:t>
            </w:r>
          </w:p>
          <w:p w14:paraId="55D14EF1" w14:textId="3E8551C6" w:rsidR="00C0403E" w:rsidRPr="00873D4D" w:rsidRDefault="00C0403E" w:rsidP="00B213B9">
            <w:pPr>
              <w:numPr>
                <w:ilvl w:val="1"/>
                <w:numId w:val="24"/>
              </w:numPr>
              <w:overflowPunct/>
              <w:autoSpaceDE/>
              <w:autoSpaceDN/>
              <w:adjustRightInd/>
              <w:spacing w:after="0"/>
              <w:textAlignment w:val="auto"/>
              <w:rPr>
                <w:sz w:val="16"/>
                <w:szCs w:val="16"/>
                <w:lang w:val="en-US" w:eastAsia="x-none"/>
              </w:rPr>
            </w:pPr>
            <w:r w:rsidRPr="00632C88">
              <w:rPr>
                <w:sz w:val="16"/>
                <w:szCs w:val="16"/>
                <w:lang w:val="en-US" w:eastAsia="x-none"/>
              </w:rPr>
              <w:t>Y=</w:t>
            </w:r>
            <w:r w:rsidR="00F46683">
              <w:rPr>
                <w:sz w:val="16"/>
                <w:szCs w:val="16"/>
                <w:lang w:val="en-US" w:eastAsia="x-none"/>
              </w:rPr>
              <w:t>3</w:t>
            </w:r>
          </w:p>
        </w:tc>
      </w:tr>
    </w:tbl>
    <w:p w14:paraId="5D7E2457" w14:textId="155AB1AF" w:rsidR="00C0403E" w:rsidRDefault="00C0403E" w:rsidP="00C0403E"/>
    <w:p w14:paraId="0A0316B7" w14:textId="3783566B" w:rsidR="005410A8" w:rsidRDefault="005410A8" w:rsidP="005410A8">
      <w:pPr>
        <w:jc w:val="both"/>
      </w:pPr>
      <w:r>
        <w:lastRenderedPageBreak/>
        <w:t>In a</w:t>
      </w:r>
      <w:r w:rsidR="00FA18F6">
        <w:t>n</w:t>
      </w:r>
      <w:r>
        <w:t xml:space="preserve"> </w:t>
      </w:r>
      <w:r w:rsidR="00FC6A42">
        <w:t>LTE-MTC</w:t>
      </w:r>
      <w:r>
        <w:t xml:space="preserve"> scenario with </w:t>
      </w:r>
      <w:r w:rsidR="00FC6A42">
        <w:t>Ten</w:t>
      </w:r>
      <w:r>
        <w:t xml:space="preserve"> HARQ processes</w:t>
      </w:r>
      <w:r w:rsidR="00FC6A42">
        <w:t xml:space="preserve"> (all with HARQ feedback disabled)</w:t>
      </w:r>
      <w:r>
        <w:t xml:space="preserve">, “Option 2” in the diagram below means that the subsequent transmission of “HARQ process#0” can occur earliest at subframe# </w:t>
      </w:r>
      <w:r w:rsidR="002D0C2F" w:rsidRPr="002D0C2F">
        <w:rPr>
          <w:highlight w:val="yellow"/>
        </w:rPr>
        <w:t>15</w:t>
      </w:r>
      <w:r>
        <w:t xml:space="preserve"> and leaves up to </w:t>
      </w:r>
      <w:r w:rsidR="005C6199">
        <w:t xml:space="preserve">the </w:t>
      </w:r>
      <w:r>
        <w:t>eNodeB scheduling afterwards the subsequent transmission of “HARQ process#1</w:t>
      </w:r>
      <w:r w:rsidR="002D0C2F">
        <w:t>, HARQ process# 2, and so on</w:t>
      </w:r>
      <w:r>
        <w:t>”,</w:t>
      </w:r>
      <w:r w:rsidR="00E30F8D">
        <w:t xml:space="preserve"> e.g., from subframe 16 onwards</w:t>
      </w:r>
      <w:r>
        <w:t>.</w:t>
      </w:r>
    </w:p>
    <w:p w14:paraId="48D965FF" w14:textId="09D7D7D7" w:rsidR="005410A8" w:rsidRPr="003A5C83" w:rsidRDefault="005410A8" w:rsidP="005410A8">
      <w:pPr>
        <w:keepNext/>
        <w:keepLines/>
        <w:spacing w:before="120" w:after="0"/>
        <w:jc w:val="center"/>
        <w:rPr>
          <w:bCs/>
          <w:sz w:val="16"/>
          <w:szCs w:val="16"/>
        </w:rPr>
      </w:pPr>
      <w:r w:rsidRPr="003A5C83">
        <w:rPr>
          <w:bCs/>
          <w:sz w:val="16"/>
          <w:szCs w:val="16"/>
        </w:rPr>
        <w:t xml:space="preserve">Table </w:t>
      </w:r>
      <w:r w:rsidR="00336AD6">
        <w:rPr>
          <w:bCs/>
          <w:sz w:val="16"/>
          <w:szCs w:val="16"/>
        </w:rPr>
        <w:t>4</w:t>
      </w:r>
      <w:r w:rsidRPr="003A5C83">
        <w:rPr>
          <w:bCs/>
          <w:sz w:val="16"/>
          <w:szCs w:val="16"/>
        </w:rPr>
        <w:t xml:space="preserve">: 10 HARQ processes </w:t>
      </w:r>
      <w:r w:rsidR="00FC6A42">
        <w:rPr>
          <w:bCs/>
          <w:sz w:val="16"/>
          <w:szCs w:val="16"/>
        </w:rPr>
        <w:t>all with HARQ feedback disabled</w:t>
      </w:r>
      <w:r w:rsidRPr="003A5C83">
        <w:rPr>
          <w:bCs/>
          <w:sz w:val="16"/>
          <w:szCs w:val="16"/>
        </w:rPr>
        <w:t xml:space="preserve"> for a Cat-M1 HD-FDD UE for NTN</w:t>
      </w:r>
      <w:r w:rsidR="00FC6A42">
        <w:rPr>
          <w:bCs/>
          <w:sz w:val="16"/>
          <w:szCs w:val="16"/>
        </w:rPr>
        <w:t>.</w:t>
      </w:r>
    </w:p>
    <w:tbl>
      <w:tblPr>
        <w:tblW w:w="0" w:type="auto"/>
        <w:tblInd w:w="-118" w:type="dxa"/>
        <w:tblLayout w:type="fixed"/>
        <w:tblCellMar>
          <w:left w:w="0" w:type="dxa"/>
          <w:right w:w="0" w:type="dxa"/>
        </w:tblCellMar>
        <w:tblLook w:val="04A0" w:firstRow="1" w:lastRow="0" w:firstColumn="1" w:lastColumn="0" w:noHBand="0" w:noVBand="1"/>
      </w:tblPr>
      <w:tblGrid>
        <w:gridCol w:w="794"/>
        <w:gridCol w:w="1856"/>
        <w:gridCol w:w="425"/>
        <w:gridCol w:w="425"/>
        <w:gridCol w:w="425"/>
        <w:gridCol w:w="365"/>
        <w:gridCol w:w="277"/>
        <w:gridCol w:w="277"/>
        <w:gridCol w:w="277"/>
        <w:gridCol w:w="277"/>
        <w:gridCol w:w="277"/>
        <w:gridCol w:w="277"/>
        <w:gridCol w:w="338"/>
        <w:gridCol w:w="338"/>
        <w:gridCol w:w="338"/>
        <w:gridCol w:w="345"/>
        <w:gridCol w:w="379"/>
        <w:gridCol w:w="379"/>
        <w:gridCol w:w="444"/>
        <w:gridCol w:w="384"/>
        <w:gridCol w:w="425"/>
        <w:gridCol w:w="415"/>
      </w:tblGrid>
      <w:tr w:rsidR="00FC6A42" w:rsidRPr="0047424F" w14:paraId="19584E9D" w14:textId="4F2F5EC2" w:rsidTr="00E30F8D">
        <w:tc>
          <w:tcPr>
            <w:tcW w:w="265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11A3A5" w14:textId="71D09401" w:rsidR="00FC6A42" w:rsidRDefault="00FC6A42" w:rsidP="00704657">
            <w:pPr>
              <w:rPr>
                <w:rStyle w:val="IvDbodytextChar"/>
                <w:i/>
              </w:rPr>
            </w:pPr>
            <w:r>
              <w:rPr>
                <w:rFonts w:asciiTheme="minorHAnsi" w:hAnsiTheme="minorHAnsi" w:cstheme="minorHAnsi"/>
                <w:sz w:val="12"/>
                <w:szCs w:val="12"/>
                <w:lang w:eastAsia="en-GB"/>
              </w:rPr>
              <w:t>Earliest DL Reception of the subsequent HARQ Processes as per “Option 2” applied to LTE-MTC</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FEFCB" w14:textId="77777777" w:rsidR="00FC6A42" w:rsidRPr="0047424F" w:rsidRDefault="00FC6A42" w:rsidP="00704657">
            <w:pPr>
              <w:rPr>
                <w:rFonts w:ascii="Calibri" w:eastAsia="Calibri" w:hAnsi="Calibri" w:cs="Calibri"/>
                <w:sz w:val="12"/>
                <w:szCs w:val="12"/>
                <w:lang w:val="sv-SE"/>
              </w:rPr>
            </w:pP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F2C85" w14:textId="77777777" w:rsidR="00FC6A42" w:rsidRPr="0047424F" w:rsidRDefault="00FC6A42" w:rsidP="00704657">
            <w:pPr>
              <w:rPr>
                <w:rFonts w:ascii="Calibri" w:eastAsia="Calibri" w:hAnsi="Calibri" w:cs="Calibri"/>
                <w:sz w:val="12"/>
                <w:szCs w:val="12"/>
                <w:lang w:val="sv-SE"/>
              </w:rPr>
            </w:pP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3BA1D7" w14:textId="77777777" w:rsidR="00FC6A42" w:rsidRPr="0047424F" w:rsidRDefault="00FC6A42" w:rsidP="00704657">
            <w:pPr>
              <w:rPr>
                <w:rFonts w:ascii="Calibri" w:eastAsia="Calibri" w:hAnsi="Calibri" w:cs="Calibri"/>
                <w:sz w:val="12"/>
                <w:szCs w:val="12"/>
                <w:lang w:val="sv-SE"/>
              </w:rPr>
            </w:pPr>
          </w:p>
        </w:tc>
        <w:tc>
          <w:tcPr>
            <w:tcW w:w="3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C7F6F" w14:textId="77777777" w:rsidR="00FC6A42" w:rsidRPr="0047424F" w:rsidRDefault="00FC6A42"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A65C" w14:textId="77777777" w:rsidR="00FC6A42" w:rsidRPr="0047424F" w:rsidRDefault="00FC6A42"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07D384" w14:textId="77777777" w:rsidR="00FC6A42" w:rsidRPr="0047424F" w:rsidRDefault="00FC6A42"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4A3C5B" w14:textId="77777777" w:rsidR="00FC6A42" w:rsidRPr="0047424F" w:rsidRDefault="00FC6A42"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FA3AE3" w14:textId="77777777" w:rsidR="00FC6A42" w:rsidRPr="0047424F" w:rsidRDefault="00FC6A42"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B1E96A" w14:textId="77777777" w:rsidR="00FC6A42" w:rsidRPr="0047424F" w:rsidRDefault="00FC6A42"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543DE7" w14:textId="77777777" w:rsidR="00FC6A42" w:rsidRPr="0047424F" w:rsidRDefault="00FC6A42" w:rsidP="00704657">
            <w:pPr>
              <w:rPr>
                <w:rFonts w:ascii="Calibri" w:eastAsia="Calibri" w:hAnsi="Calibri" w:cs="Calibri"/>
                <w:sz w:val="12"/>
                <w:szCs w:val="12"/>
                <w:lang w:val="sv-SE"/>
              </w:rPr>
            </w:pP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D7C22C" w14:textId="77777777" w:rsidR="00FC6A42" w:rsidRPr="0047424F" w:rsidRDefault="00FC6A42" w:rsidP="00704657">
            <w:pPr>
              <w:rPr>
                <w:rFonts w:ascii="Calibri" w:eastAsia="Calibri" w:hAnsi="Calibri" w:cs="Calibri"/>
                <w:sz w:val="12"/>
                <w:szCs w:val="12"/>
                <w:lang w:val="sv-SE"/>
              </w:rPr>
            </w:pP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410A78" w14:textId="77777777" w:rsidR="00FC6A42" w:rsidRPr="0047424F" w:rsidRDefault="00FC6A42" w:rsidP="00704657">
            <w:pPr>
              <w:rPr>
                <w:rFonts w:ascii="Calibri" w:eastAsia="Calibri" w:hAnsi="Calibri" w:cs="Calibri"/>
                <w:sz w:val="12"/>
                <w:szCs w:val="12"/>
                <w:lang w:val="sv-SE"/>
              </w:rPr>
            </w:pP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3B7A6F" w14:textId="77777777" w:rsidR="00FC6A42" w:rsidRPr="0047424F" w:rsidRDefault="00FC6A42" w:rsidP="00704657">
            <w:pPr>
              <w:rPr>
                <w:rFonts w:ascii="Calibri" w:eastAsia="Calibri" w:hAnsi="Calibri" w:cs="Calibri"/>
                <w:sz w:val="12"/>
                <w:szCs w:val="12"/>
                <w:lang w:val="sv-SE"/>
              </w:rPr>
            </w:pP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D4A9D3" w14:textId="77777777" w:rsidR="00FC6A42" w:rsidRPr="0047424F" w:rsidRDefault="00FC6A42" w:rsidP="00704657">
            <w:pPr>
              <w:rPr>
                <w:rFonts w:ascii="Calibri" w:eastAsia="Calibri" w:hAnsi="Calibri" w:cs="Calibri"/>
                <w:sz w:val="12"/>
                <w:szCs w:val="12"/>
                <w:lang w:val="sv-SE"/>
              </w:rPr>
            </w:pPr>
          </w:p>
        </w:tc>
        <w:tc>
          <w:tcPr>
            <w:tcW w:w="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3D1A8" w14:textId="77777777" w:rsidR="00FC6A42" w:rsidRPr="0047424F" w:rsidRDefault="00FC6A42" w:rsidP="00704657">
            <w:pPr>
              <w:rPr>
                <w:rFonts w:ascii="Calibri" w:eastAsia="Calibri" w:hAnsi="Calibri" w:cs="Calibri"/>
                <w:sz w:val="12"/>
                <w:szCs w:val="12"/>
                <w:lang w:val="sv-SE"/>
              </w:rPr>
            </w:pPr>
          </w:p>
        </w:tc>
        <w:tc>
          <w:tcPr>
            <w:tcW w:w="37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60ED0E1" w14:textId="02700006" w:rsidR="00FC6A42" w:rsidRPr="0047424F" w:rsidRDefault="002D0C2F"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4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02013" w14:textId="71D9A73D" w:rsidR="00FC6A42" w:rsidRPr="0047424F" w:rsidRDefault="00E30F8D"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3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7F05" w14:textId="45F1CCAA" w:rsidR="00FC6A42" w:rsidRPr="0047424F" w:rsidRDefault="00E30F8D"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94E86B" w14:textId="6845792F" w:rsidR="00FC6A42" w:rsidRPr="0047424F" w:rsidRDefault="00E30F8D"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415" w:type="dxa"/>
            <w:vMerge w:val="restart"/>
            <w:tcBorders>
              <w:top w:val="single" w:sz="8" w:space="0" w:color="auto"/>
              <w:left w:val="nil"/>
              <w:right w:val="single" w:sz="8" w:space="0" w:color="auto"/>
            </w:tcBorders>
          </w:tcPr>
          <w:p w14:paraId="7224E884" w14:textId="77777777" w:rsidR="00FC6A42" w:rsidRDefault="00FC6A42" w:rsidP="00FC6A42">
            <w:pPr>
              <w:jc w:val="center"/>
              <w:rPr>
                <w:rFonts w:ascii="Calibri" w:eastAsia="Calibri" w:hAnsi="Calibri" w:cs="Calibri"/>
                <w:sz w:val="12"/>
                <w:szCs w:val="12"/>
                <w:lang w:val="sv-SE"/>
              </w:rPr>
            </w:pPr>
          </w:p>
          <w:p w14:paraId="485292B2" w14:textId="77777777" w:rsidR="00FC6A42" w:rsidRDefault="00FC6A42" w:rsidP="00FC6A42">
            <w:pPr>
              <w:jc w:val="center"/>
              <w:rPr>
                <w:rFonts w:ascii="Calibri" w:eastAsia="Calibri" w:hAnsi="Calibri" w:cs="Calibri"/>
                <w:sz w:val="12"/>
                <w:szCs w:val="12"/>
                <w:lang w:val="sv-SE"/>
              </w:rPr>
            </w:pPr>
          </w:p>
          <w:p w14:paraId="113CB6A3" w14:textId="77777777" w:rsidR="00FC6A42" w:rsidRDefault="00FC6A42" w:rsidP="00FC6A42">
            <w:pPr>
              <w:jc w:val="center"/>
              <w:rPr>
                <w:rFonts w:ascii="Calibri" w:eastAsia="Calibri" w:hAnsi="Calibri" w:cs="Calibri"/>
                <w:sz w:val="12"/>
                <w:szCs w:val="12"/>
                <w:lang w:val="sv-SE"/>
              </w:rPr>
            </w:pPr>
          </w:p>
          <w:p w14:paraId="67532917" w14:textId="146C13B5" w:rsidR="00FC6A42" w:rsidRPr="0047424F" w:rsidRDefault="00FC6A42" w:rsidP="00FC6A42">
            <w:pPr>
              <w:jc w:val="center"/>
              <w:rPr>
                <w:rFonts w:ascii="Calibri" w:eastAsia="Calibri" w:hAnsi="Calibri" w:cs="Calibri"/>
                <w:sz w:val="12"/>
                <w:szCs w:val="12"/>
                <w:lang w:val="sv-SE"/>
              </w:rPr>
            </w:pPr>
            <w:r>
              <w:rPr>
                <w:rFonts w:ascii="Calibri" w:eastAsia="Calibri" w:hAnsi="Calibri" w:cs="Calibri"/>
                <w:sz w:val="12"/>
                <w:szCs w:val="12"/>
                <w:lang w:val="sv-SE"/>
              </w:rPr>
              <w:t>....</w:t>
            </w:r>
          </w:p>
        </w:tc>
      </w:tr>
      <w:tr w:rsidR="00FC6A42" w:rsidRPr="0047424F" w14:paraId="14D548D7" w14:textId="107E1CE7" w:rsidTr="00FC6A42">
        <w:tc>
          <w:tcPr>
            <w:tcW w:w="265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AD328" w14:textId="77777777" w:rsidR="00FC6A42" w:rsidRPr="0047424F" w:rsidRDefault="00FC6A42" w:rsidP="00704657">
            <w:pPr>
              <w:rPr>
                <w:rFonts w:ascii="Calibri" w:eastAsia="Calibri" w:hAnsi="Calibri" w:cs="Calibri"/>
                <w:sz w:val="12"/>
                <w:szCs w:val="12"/>
                <w:lang w:val="sv-SE"/>
              </w:rPr>
            </w:pPr>
            <w:r>
              <w:rPr>
                <w:rStyle w:val="IvDbodytextChar"/>
                <w:i/>
              </w:rPr>
              <w:t xml:space="preserve"> </w:t>
            </w:r>
            <w:r w:rsidRPr="0047424F">
              <w:rPr>
                <w:rFonts w:ascii="Calibri" w:eastAsia="Calibri" w:hAnsi="Calibri" w:cs="Calibri"/>
                <w:sz w:val="12"/>
                <w:szCs w:val="12"/>
                <w:lang w:val="sv-SE"/>
              </w:rPr>
              <w:t>Subrame#</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39879"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D25DC"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242D6"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3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AE461"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858DF"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631C3"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FDC02"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80E39"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D65DD9"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B300F"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FB4AB"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10</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02D4"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11</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0386A"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12</w:t>
            </w: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0F33A"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13</w:t>
            </w:r>
          </w:p>
        </w:tc>
        <w:tc>
          <w:tcPr>
            <w:tcW w:w="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FFC2A"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14</w:t>
            </w:r>
          </w:p>
        </w:tc>
        <w:tc>
          <w:tcPr>
            <w:tcW w:w="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9E074"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15</w:t>
            </w:r>
          </w:p>
        </w:tc>
        <w:tc>
          <w:tcPr>
            <w:tcW w:w="4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448C19"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16</w:t>
            </w:r>
          </w:p>
        </w:tc>
        <w:tc>
          <w:tcPr>
            <w:tcW w:w="3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BF5946"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17</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0A321"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18</w:t>
            </w:r>
          </w:p>
        </w:tc>
        <w:tc>
          <w:tcPr>
            <w:tcW w:w="415" w:type="dxa"/>
            <w:vMerge/>
            <w:tcBorders>
              <w:left w:val="nil"/>
              <w:right w:val="single" w:sz="8" w:space="0" w:color="auto"/>
            </w:tcBorders>
          </w:tcPr>
          <w:p w14:paraId="512779F2" w14:textId="77777777" w:rsidR="00FC6A42" w:rsidRPr="0047424F" w:rsidRDefault="00FC6A42" w:rsidP="00704657">
            <w:pPr>
              <w:rPr>
                <w:rFonts w:ascii="Calibri" w:eastAsia="Calibri" w:hAnsi="Calibri" w:cs="Calibri"/>
                <w:sz w:val="12"/>
                <w:szCs w:val="12"/>
                <w:lang w:val="sv-SE"/>
              </w:rPr>
            </w:pPr>
          </w:p>
        </w:tc>
      </w:tr>
      <w:tr w:rsidR="00FC6A42" w:rsidRPr="0047424F" w14:paraId="2691F7FC" w14:textId="44722D52" w:rsidTr="00FC6A42">
        <w:tc>
          <w:tcPr>
            <w:tcW w:w="26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829AF"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MPDCCH</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324406A7"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76BFF39B"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3CF17154"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365" w:type="dxa"/>
            <w:tcBorders>
              <w:top w:val="nil"/>
              <w:left w:val="nil"/>
              <w:bottom w:val="single" w:sz="8" w:space="0" w:color="auto"/>
              <w:right w:val="single" w:sz="8" w:space="0" w:color="auto"/>
            </w:tcBorders>
            <w:tcMar>
              <w:top w:w="0" w:type="dxa"/>
              <w:left w:w="108" w:type="dxa"/>
              <w:bottom w:w="0" w:type="dxa"/>
              <w:right w:w="108" w:type="dxa"/>
            </w:tcMar>
            <w:hideMark/>
          </w:tcPr>
          <w:p w14:paraId="15956C46"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20677B38"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3CEED941"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32115826"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5E6F72DC"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4963F94"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431212EB"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76C887B"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9BC98A0"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337DF9C" w14:textId="77777777" w:rsidR="00FC6A42" w:rsidRPr="0047424F" w:rsidRDefault="00FC6A42" w:rsidP="00704657">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318A20F7" w14:textId="77777777"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1B1F6D8A" w14:textId="77777777"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1FB9F764" w14:textId="5BDD2800" w:rsidR="00FC6A42" w:rsidRPr="0047424F" w:rsidRDefault="00FC6A42" w:rsidP="00704657">
            <w:pPr>
              <w:rPr>
                <w:rFonts w:ascii="Calibri" w:eastAsia="Calibri" w:hAnsi="Calibri" w:cs="Calibri"/>
                <w:sz w:val="12"/>
                <w:szCs w:val="12"/>
                <w:lang w:val="sv-SE"/>
              </w:rPr>
            </w:pPr>
            <w:r>
              <w:rPr>
                <w:rFonts w:ascii="Calibri" w:eastAsia="Calibri" w:hAnsi="Calibri" w:cs="Calibri"/>
                <w:sz w:val="12"/>
                <w:szCs w:val="12"/>
                <w:lang w:val="sv-SE"/>
              </w:rPr>
              <w:t>0</w:t>
            </w:r>
          </w:p>
        </w:tc>
        <w:tc>
          <w:tcPr>
            <w:tcW w:w="444" w:type="dxa"/>
            <w:tcBorders>
              <w:top w:val="nil"/>
              <w:left w:val="nil"/>
              <w:bottom w:val="single" w:sz="8" w:space="0" w:color="auto"/>
              <w:right w:val="single" w:sz="8" w:space="0" w:color="auto"/>
            </w:tcBorders>
            <w:tcMar>
              <w:top w:w="0" w:type="dxa"/>
              <w:left w:w="108" w:type="dxa"/>
              <w:bottom w:w="0" w:type="dxa"/>
              <w:right w:w="108" w:type="dxa"/>
            </w:tcMar>
          </w:tcPr>
          <w:p w14:paraId="3C5469E8" w14:textId="1759B9D9" w:rsidR="00FC6A42" w:rsidRPr="0047424F" w:rsidRDefault="00FC6A42" w:rsidP="00704657">
            <w:pPr>
              <w:rPr>
                <w:rFonts w:ascii="Calibri" w:eastAsia="Calibri" w:hAnsi="Calibri" w:cs="Calibri"/>
                <w:sz w:val="12"/>
                <w:szCs w:val="12"/>
                <w:lang w:val="sv-SE"/>
              </w:rPr>
            </w:pPr>
            <w:r>
              <w:rPr>
                <w:rFonts w:ascii="Calibri" w:eastAsia="Calibri" w:hAnsi="Calibri" w:cs="Calibri"/>
                <w:sz w:val="12"/>
                <w:szCs w:val="12"/>
                <w:lang w:val="sv-SE"/>
              </w:rPr>
              <w:t>1</w:t>
            </w:r>
          </w:p>
        </w:tc>
        <w:tc>
          <w:tcPr>
            <w:tcW w:w="384" w:type="dxa"/>
            <w:tcBorders>
              <w:top w:val="nil"/>
              <w:left w:val="nil"/>
              <w:bottom w:val="single" w:sz="8" w:space="0" w:color="auto"/>
              <w:right w:val="single" w:sz="8" w:space="0" w:color="auto"/>
            </w:tcBorders>
            <w:tcMar>
              <w:top w:w="0" w:type="dxa"/>
              <w:left w:w="108" w:type="dxa"/>
              <w:bottom w:w="0" w:type="dxa"/>
              <w:right w:w="108" w:type="dxa"/>
            </w:tcMar>
          </w:tcPr>
          <w:p w14:paraId="0D6FB410" w14:textId="683B76BF" w:rsidR="00FC6A42" w:rsidRPr="0047424F" w:rsidRDefault="00FC6A42" w:rsidP="00704657">
            <w:pPr>
              <w:rPr>
                <w:rFonts w:ascii="Calibri" w:eastAsia="Calibri" w:hAnsi="Calibri" w:cs="Calibri"/>
                <w:sz w:val="12"/>
                <w:szCs w:val="12"/>
                <w:lang w:val="sv-SE"/>
              </w:rPr>
            </w:pPr>
            <w:r>
              <w:rPr>
                <w:rFonts w:ascii="Calibri" w:eastAsia="Calibri" w:hAnsi="Calibri" w:cs="Calibri"/>
                <w:sz w:val="12"/>
                <w:szCs w:val="12"/>
                <w:lang w:val="sv-SE"/>
              </w:rPr>
              <w:t>2</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15B87EE" w14:textId="4C477113" w:rsidR="00FC6A42" w:rsidRPr="0047424F" w:rsidRDefault="00FC6A42" w:rsidP="00704657">
            <w:pPr>
              <w:rPr>
                <w:rFonts w:ascii="Calibri" w:eastAsia="Calibri" w:hAnsi="Calibri" w:cs="Calibri"/>
                <w:sz w:val="12"/>
                <w:szCs w:val="12"/>
                <w:lang w:val="sv-SE"/>
              </w:rPr>
            </w:pPr>
            <w:r>
              <w:rPr>
                <w:rFonts w:ascii="Calibri" w:eastAsia="Calibri" w:hAnsi="Calibri" w:cs="Calibri"/>
                <w:sz w:val="12"/>
                <w:szCs w:val="12"/>
                <w:lang w:val="sv-SE"/>
              </w:rPr>
              <w:t>3</w:t>
            </w:r>
          </w:p>
        </w:tc>
        <w:tc>
          <w:tcPr>
            <w:tcW w:w="415" w:type="dxa"/>
            <w:vMerge/>
            <w:tcBorders>
              <w:left w:val="nil"/>
              <w:right w:val="single" w:sz="8" w:space="0" w:color="auto"/>
            </w:tcBorders>
          </w:tcPr>
          <w:p w14:paraId="6B417E20" w14:textId="77777777" w:rsidR="00FC6A42" w:rsidRDefault="00FC6A42" w:rsidP="00704657">
            <w:pPr>
              <w:rPr>
                <w:rFonts w:ascii="Calibri" w:eastAsia="Calibri" w:hAnsi="Calibri" w:cs="Calibri"/>
                <w:sz w:val="12"/>
                <w:szCs w:val="12"/>
                <w:lang w:val="sv-SE"/>
              </w:rPr>
            </w:pPr>
          </w:p>
        </w:tc>
      </w:tr>
      <w:tr w:rsidR="00FC6A42" w:rsidRPr="0047424F" w14:paraId="18D9B5FC" w14:textId="1E81768B" w:rsidTr="00FC6A42">
        <w:tc>
          <w:tcPr>
            <w:tcW w:w="26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34DE5"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PDSCH</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33031BE" w14:textId="77777777" w:rsidR="00FC6A42" w:rsidRPr="0047424F" w:rsidRDefault="00FC6A42" w:rsidP="00704657">
            <w:pP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7AF120E8" w14:textId="77777777" w:rsidR="00FC6A42" w:rsidRPr="0047424F" w:rsidRDefault="00FC6A42" w:rsidP="00704657">
            <w:pPr>
              <w:rPr>
                <w:rFonts w:eastAsia="Times New Roman"/>
                <w:sz w:val="12"/>
                <w:szCs w:val="12"/>
                <w:lang w:val="sv-SE" w:eastAsia="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0F887126"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365" w:type="dxa"/>
            <w:tcBorders>
              <w:top w:val="nil"/>
              <w:left w:val="nil"/>
              <w:bottom w:val="single" w:sz="8" w:space="0" w:color="auto"/>
              <w:right w:val="single" w:sz="8" w:space="0" w:color="auto"/>
            </w:tcBorders>
            <w:tcMar>
              <w:top w:w="0" w:type="dxa"/>
              <w:left w:w="108" w:type="dxa"/>
              <w:bottom w:w="0" w:type="dxa"/>
              <w:right w:w="108" w:type="dxa"/>
            </w:tcMar>
            <w:hideMark/>
          </w:tcPr>
          <w:p w14:paraId="006984DE"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6B1AE5C1"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01ED044C"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CCA77C0"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E60FE07"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69FE5E6F"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5E79A6F5"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7C06EEA6"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30FE5ADB"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8F04379" w14:textId="77777777" w:rsidR="00FC6A42" w:rsidRPr="0047424F" w:rsidRDefault="00FC6A42" w:rsidP="00704657">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2459507A" w14:textId="77777777"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117111CB" w14:textId="77777777"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39C45870" w14:textId="77777777" w:rsidR="00FC6A42" w:rsidRPr="0047424F" w:rsidRDefault="00FC6A42" w:rsidP="00704657">
            <w:pPr>
              <w:rPr>
                <w:rFonts w:ascii="Calibri" w:eastAsia="Calibri" w:hAnsi="Calibri" w:cs="Calibri"/>
                <w:sz w:val="12"/>
                <w:szCs w:val="12"/>
                <w:lang w:val="sv-SE"/>
              </w:rPr>
            </w:pPr>
          </w:p>
        </w:tc>
        <w:tc>
          <w:tcPr>
            <w:tcW w:w="444" w:type="dxa"/>
            <w:tcBorders>
              <w:top w:val="nil"/>
              <w:left w:val="nil"/>
              <w:bottom w:val="single" w:sz="8" w:space="0" w:color="auto"/>
              <w:right w:val="single" w:sz="8" w:space="0" w:color="auto"/>
            </w:tcBorders>
            <w:tcMar>
              <w:top w:w="0" w:type="dxa"/>
              <w:left w:w="108" w:type="dxa"/>
              <w:bottom w:w="0" w:type="dxa"/>
              <w:right w:w="108" w:type="dxa"/>
            </w:tcMar>
          </w:tcPr>
          <w:p w14:paraId="3C81834D" w14:textId="77777777" w:rsidR="00FC6A42" w:rsidRPr="0047424F" w:rsidRDefault="00FC6A42" w:rsidP="00704657">
            <w:pPr>
              <w:rPr>
                <w:rFonts w:ascii="Calibri" w:eastAsia="Calibri" w:hAnsi="Calibri" w:cs="Calibri"/>
                <w:sz w:val="12"/>
                <w:szCs w:val="12"/>
                <w:lang w:val="sv-SE"/>
              </w:rPr>
            </w:pPr>
          </w:p>
        </w:tc>
        <w:tc>
          <w:tcPr>
            <w:tcW w:w="384" w:type="dxa"/>
            <w:tcBorders>
              <w:top w:val="nil"/>
              <w:left w:val="nil"/>
              <w:bottom w:val="single" w:sz="8" w:space="0" w:color="auto"/>
              <w:right w:val="single" w:sz="8" w:space="0" w:color="auto"/>
            </w:tcBorders>
            <w:tcMar>
              <w:top w:w="0" w:type="dxa"/>
              <w:left w:w="108" w:type="dxa"/>
              <w:bottom w:w="0" w:type="dxa"/>
              <w:right w:w="108" w:type="dxa"/>
            </w:tcMar>
          </w:tcPr>
          <w:p w14:paraId="4F96E6CE" w14:textId="4E546955" w:rsidR="00FC6A42" w:rsidRPr="0047424F" w:rsidRDefault="00FC6A42" w:rsidP="00704657">
            <w:pPr>
              <w:rPr>
                <w:rFonts w:ascii="Calibri" w:eastAsia="Calibri" w:hAnsi="Calibri" w:cs="Calibri"/>
                <w:sz w:val="12"/>
                <w:szCs w:val="12"/>
                <w:lang w:val="sv-SE"/>
              </w:rPr>
            </w:pPr>
            <w:r>
              <w:rPr>
                <w:rFonts w:ascii="Calibri" w:eastAsia="Calibri" w:hAnsi="Calibri" w:cs="Calibri"/>
                <w:sz w:val="12"/>
                <w:szCs w:val="12"/>
                <w:lang w:val="sv-SE"/>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B2151C3" w14:textId="6BC9D11F" w:rsidR="00FC6A42" w:rsidRPr="0047424F" w:rsidRDefault="00FC6A42" w:rsidP="00704657">
            <w:pPr>
              <w:rPr>
                <w:rFonts w:ascii="Calibri" w:eastAsia="Calibri" w:hAnsi="Calibri" w:cs="Calibri"/>
                <w:sz w:val="12"/>
                <w:szCs w:val="12"/>
                <w:lang w:val="sv-SE"/>
              </w:rPr>
            </w:pPr>
            <w:r>
              <w:rPr>
                <w:rFonts w:ascii="Calibri" w:eastAsia="Calibri" w:hAnsi="Calibri" w:cs="Calibri"/>
                <w:sz w:val="12"/>
                <w:szCs w:val="12"/>
                <w:lang w:val="sv-SE"/>
              </w:rPr>
              <w:t>3</w:t>
            </w:r>
          </w:p>
        </w:tc>
        <w:tc>
          <w:tcPr>
            <w:tcW w:w="415" w:type="dxa"/>
            <w:vMerge/>
            <w:tcBorders>
              <w:left w:val="nil"/>
              <w:right w:val="single" w:sz="8" w:space="0" w:color="auto"/>
            </w:tcBorders>
          </w:tcPr>
          <w:p w14:paraId="67AD7C4C" w14:textId="77777777" w:rsidR="00FC6A42" w:rsidRDefault="00FC6A42" w:rsidP="00704657">
            <w:pPr>
              <w:rPr>
                <w:rFonts w:ascii="Calibri" w:eastAsia="Calibri" w:hAnsi="Calibri" w:cs="Calibri"/>
                <w:sz w:val="12"/>
                <w:szCs w:val="12"/>
                <w:lang w:val="sv-SE"/>
              </w:rPr>
            </w:pPr>
          </w:p>
        </w:tc>
      </w:tr>
      <w:tr w:rsidR="00FC6A42" w:rsidRPr="0047424F" w14:paraId="4858DC5F" w14:textId="634B1DE3" w:rsidTr="00FA18F6">
        <w:tc>
          <w:tcPr>
            <w:tcW w:w="2650"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73274D26" w14:textId="77777777" w:rsidR="00FC6A42" w:rsidRPr="00FC6A42" w:rsidRDefault="00FC6A42" w:rsidP="00704657">
            <w:pPr>
              <w:rPr>
                <w:rFonts w:ascii="Calibri" w:eastAsia="Calibri" w:hAnsi="Calibri" w:cs="Calibri"/>
                <w:color w:val="FF0000"/>
                <w:sz w:val="12"/>
                <w:szCs w:val="12"/>
                <w:lang w:val="sv-SE"/>
              </w:rPr>
            </w:pPr>
            <w:r w:rsidRPr="00FC6A42">
              <w:rPr>
                <w:rFonts w:ascii="Calibri" w:eastAsia="Calibri" w:hAnsi="Calibri" w:cs="Calibri"/>
                <w:color w:val="FF0000"/>
                <w:sz w:val="12"/>
                <w:szCs w:val="12"/>
                <w:lang w:val="sv-SE"/>
              </w:rPr>
              <w:t>PUCCH</w:t>
            </w:r>
          </w:p>
          <w:p w14:paraId="45C7AB62" w14:textId="3DEAF4BD" w:rsidR="00FC6A42" w:rsidRPr="0047424F" w:rsidRDefault="00FC6A42" w:rsidP="00704657">
            <w:pPr>
              <w:rPr>
                <w:rFonts w:ascii="Calibri" w:eastAsia="Calibri" w:hAnsi="Calibri" w:cs="Calibri"/>
                <w:sz w:val="12"/>
                <w:szCs w:val="12"/>
                <w:lang w:val="sv-SE"/>
              </w:rPr>
            </w:pPr>
            <w:r w:rsidRPr="00FC6A42">
              <w:rPr>
                <w:rFonts w:ascii="Calibri" w:eastAsia="Calibri" w:hAnsi="Calibri" w:cs="Calibri"/>
                <w:color w:val="FF0000"/>
                <w:sz w:val="12"/>
                <w:szCs w:val="12"/>
                <w:lang w:val="sv-SE"/>
              </w:rPr>
              <w:t>Disabled</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18069CC1" w14:textId="77777777" w:rsidR="00FC6A42" w:rsidRPr="0047424F" w:rsidRDefault="00FC6A4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50B85CE6" w14:textId="77777777" w:rsidR="00FC6A42" w:rsidRPr="0047424F" w:rsidRDefault="00FC6A4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4BD0B3A7" w14:textId="77777777" w:rsidR="00FC6A42" w:rsidRPr="0047424F" w:rsidRDefault="00FC6A42" w:rsidP="00704657">
            <w:pPr>
              <w:rPr>
                <w:rFonts w:ascii="Calibri" w:eastAsia="Calibri" w:hAnsi="Calibri" w:cs="Calibri"/>
                <w:sz w:val="12"/>
                <w:szCs w:val="12"/>
                <w:lang w:val="sv-SE"/>
              </w:rPr>
            </w:pPr>
          </w:p>
        </w:tc>
        <w:tc>
          <w:tcPr>
            <w:tcW w:w="365" w:type="dxa"/>
            <w:tcBorders>
              <w:top w:val="nil"/>
              <w:left w:val="nil"/>
              <w:bottom w:val="single" w:sz="8" w:space="0" w:color="4472C4"/>
              <w:right w:val="single" w:sz="8" w:space="0" w:color="auto"/>
            </w:tcBorders>
            <w:tcMar>
              <w:top w:w="0" w:type="dxa"/>
              <w:left w:w="108" w:type="dxa"/>
              <w:bottom w:w="0" w:type="dxa"/>
              <w:right w:w="108" w:type="dxa"/>
            </w:tcMar>
          </w:tcPr>
          <w:p w14:paraId="2088EE2E"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0260C64"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EB61C37"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B65332F"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4697DAB"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E070308"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E0C11C3"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0124718"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83E5B15"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5B38F5BE" w14:textId="77777777" w:rsidR="00FC6A42" w:rsidRPr="0047424F" w:rsidRDefault="00FC6A42" w:rsidP="00704657">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318C3B0D" w14:textId="648150AF"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7D8212D2" w14:textId="19F2B82B"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75330D93" w14:textId="0DF70F49" w:rsidR="00FC6A42" w:rsidRPr="0047424F" w:rsidRDefault="00FC6A42"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429CC493" w14:textId="77777777" w:rsidR="00FC6A42" w:rsidRPr="0047424F" w:rsidRDefault="00FC6A42"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132E2521" w14:textId="77777777" w:rsidR="00FC6A42" w:rsidRPr="0047424F" w:rsidRDefault="00FC6A4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6C5321C7" w14:textId="77777777" w:rsidR="00FC6A42" w:rsidRPr="0047424F" w:rsidRDefault="00FC6A42" w:rsidP="00704657">
            <w:pPr>
              <w:rPr>
                <w:rFonts w:ascii="Calibri" w:eastAsia="Calibri" w:hAnsi="Calibri" w:cs="Calibri"/>
                <w:sz w:val="12"/>
                <w:szCs w:val="12"/>
                <w:lang w:val="sv-SE"/>
              </w:rPr>
            </w:pPr>
          </w:p>
        </w:tc>
        <w:tc>
          <w:tcPr>
            <w:tcW w:w="415" w:type="dxa"/>
            <w:vMerge/>
            <w:tcBorders>
              <w:left w:val="nil"/>
              <w:bottom w:val="single" w:sz="8" w:space="0" w:color="4472C4"/>
              <w:right w:val="single" w:sz="8" w:space="0" w:color="auto"/>
            </w:tcBorders>
          </w:tcPr>
          <w:p w14:paraId="53C671F1" w14:textId="77777777" w:rsidR="00FC6A42" w:rsidRPr="0047424F" w:rsidRDefault="00FC6A42" w:rsidP="00704657">
            <w:pPr>
              <w:rPr>
                <w:rFonts w:ascii="Calibri" w:eastAsia="Calibri" w:hAnsi="Calibri" w:cs="Calibri"/>
                <w:sz w:val="12"/>
                <w:szCs w:val="12"/>
                <w:lang w:val="sv-SE"/>
              </w:rPr>
            </w:pPr>
          </w:p>
        </w:tc>
      </w:tr>
      <w:tr w:rsidR="00FC6A42" w:rsidRPr="0047424F" w14:paraId="4E2CDA7F" w14:textId="1B60ACFE" w:rsidTr="00FC6A42">
        <w:tc>
          <w:tcPr>
            <w:tcW w:w="794" w:type="dxa"/>
            <w:vMerge w:val="restart"/>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140AFAF0"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rPr>
              <w:t>For HARQ Process #0</w:t>
            </w:r>
          </w:p>
        </w:tc>
        <w:tc>
          <w:tcPr>
            <w:tcW w:w="1856" w:type="dxa"/>
            <w:tcBorders>
              <w:top w:val="nil"/>
              <w:left w:val="nil"/>
              <w:bottom w:val="single" w:sz="8" w:space="0" w:color="4472C4"/>
              <w:right w:val="single" w:sz="8" w:space="0" w:color="auto"/>
            </w:tcBorders>
            <w:hideMark/>
          </w:tcPr>
          <w:p w14:paraId="0449752D" w14:textId="77777777" w:rsidR="00FC6A42" w:rsidRPr="0047424F" w:rsidRDefault="00FC6A42" w:rsidP="00704657">
            <w:pPr>
              <w:rPr>
                <w:rFonts w:ascii="Calibri" w:eastAsia="Calibri" w:hAnsi="Calibri" w:cs="Calibri"/>
                <w:sz w:val="12"/>
                <w:szCs w:val="12"/>
                <w:lang w:val="sv-SE"/>
              </w:rPr>
            </w:pPr>
            <w:r w:rsidRPr="0047424F">
              <w:rPr>
                <w:rFonts w:ascii="Calibri" w:eastAsia="Calibri" w:hAnsi="Calibri" w:cs="Calibri"/>
                <w:sz w:val="12"/>
                <w:szCs w:val="12"/>
              </w:rPr>
              <w:t>MDPCCH to PDSCH delay</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1120E45E" w14:textId="77777777" w:rsidR="00FC6A42" w:rsidRPr="0047424F" w:rsidRDefault="00FC6A42" w:rsidP="00704657">
            <w:pPr>
              <w:rPr>
                <w:rFonts w:ascii="Calibri" w:eastAsia="Calibri" w:hAnsi="Calibri" w:cs="Calibri"/>
                <w:sz w:val="12"/>
                <w:szCs w:val="12"/>
                <w:lang w:val="sv-SE"/>
              </w:rPr>
            </w:pPr>
          </w:p>
        </w:tc>
        <w:tc>
          <w:tcPr>
            <w:tcW w:w="850" w:type="dxa"/>
            <w:gridSpan w:val="2"/>
            <w:tcBorders>
              <w:top w:val="nil"/>
              <w:left w:val="nil"/>
              <w:bottom w:val="single" w:sz="8" w:space="0" w:color="4472C4"/>
              <w:right w:val="single" w:sz="8" w:space="0" w:color="auto"/>
            </w:tcBorders>
            <w:tcMar>
              <w:top w:w="0" w:type="dxa"/>
              <w:left w:w="108" w:type="dxa"/>
              <w:bottom w:w="0" w:type="dxa"/>
              <w:right w:w="108" w:type="dxa"/>
            </w:tcMar>
            <w:hideMark/>
          </w:tcPr>
          <w:p w14:paraId="35E59349" w14:textId="77777777" w:rsidR="00FC6A42" w:rsidRPr="0047424F" w:rsidRDefault="00FC6A42" w:rsidP="00704657">
            <w:pPr>
              <w:jc w:val="center"/>
              <w:rPr>
                <w:rFonts w:ascii="Calibri" w:eastAsia="Calibri" w:hAnsi="Calibri" w:cs="Calibri"/>
                <w:sz w:val="12"/>
                <w:szCs w:val="12"/>
                <w:lang w:val="sv-SE"/>
              </w:rPr>
            </w:pPr>
            <w:r w:rsidRPr="0047424F">
              <w:rPr>
                <w:rFonts w:ascii="Calibri" w:eastAsia="Calibri" w:hAnsi="Calibri" w:cs="Calibri"/>
                <w:sz w:val="12"/>
                <w:szCs w:val="12"/>
                <w:lang w:val="sv-SE"/>
              </w:rPr>
              <w:t>2ms</w:t>
            </w:r>
          </w:p>
        </w:tc>
        <w:tc>
          <w:tcPr>
            <w:tcW w:w="365" w:type="dxa"/>
            <w:tcBorders>
              <w:top w:val="nil"/>
              <w:left w:val="nil"/>
              <w:bottom w:val="single" w:sz="8" w:space="0" w:color="4472C4"/>
              <w:right w:val="single" w:sz="8" w:space="0" w:color="auto"/>
            </w:tcBorders>
            <w:tcMar>
              <w:top w:w="0" w:type="dxa"/>
              <w:left w:w="108" w:type="dxa"/>
              <w:bottom w:w="0" w:type="dxa"/>
              <w:right w:w="108" w:type="dxa"/>
            </w:tcMar>
          </w:tcPr>
          <w:p w14:paraId="435026A5"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4E75A96"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A8B13BE"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481458C"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E5610C9"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6CEAB7C" w14:textId="77777777" w:rsidR="00FC6A42" w:rsidRPr="0047424F" w:rsidRDefault="00FC6A4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195A44B"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4CC8879"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359C386A" w14:textId="77777777" w:rsidR="00FC6A42" w:rsidRPr="0047424F" w:rsidRDefault="00FC6A4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52D05A9" w14:textId="77777777" w:rsidR="00FC6A42" w:rsidRPr="0047424F" w:rsidRDefault="00FC6A42" w:rsidP="00704657">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6B3F0559" w14:textId="77777777"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6BBD292E" w14:textId="77777777" w:rsidR="00FC6A42" w:rsidRPr="0047424F" w:rsidRDefault="00FC6A42"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52E1C1AC" w14:textId="77777777" w:rsidR="00FC6A42" w:rsidRPr="0047424F" w:rsidRDefault="00FC6A42"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39CFB5FB" w14:textId="77777777" w:rsidR="00FC6A42" w:rsidRPr="0047424F" w:rsidRDefault="00FC6A42"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7085377F" w14:textId="77777777" w:rsidR="00FC6A42" w:rsidRPr="0047424F" w:rsidRDefault="00FC6A4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41AEF0C2" w14:textId="77777777" w:rsidR="00FC6A42" w:rsidRPr="0047424F" w:rsidRDefault="00FC6A42"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66D95DA5" w14:textId="77777777" w:rsidR="00FC6A42" w:rsidRPr="0047424F" w:rsidRDefault="00FC6A42" w:rsidP="00704657">
            <w:pPr>
              <w:rPr>
                <w:rFonts w:ascii="Calibri" w:eastAsia="Calibri" w:hAnsi="Calibri" w:cs="Calibri"/>
                <w:sz w:val="12"/>
                <w:szCs w:val="12"/>
                <w:lang w:val="sv-SE"/>
              </w:rPr>
            </w:pPr>
          </w:p>
        </w:tc>
      </w:tr>
      <w:tr w:rsidR="00773E58" w:rsidRPr="0047424F" w14:paraId="7FC6E11D" w14:textId="77777777" w:rsidTr="00C53806">
        <w:tc>
          <w:tcPr>
            <w:tcW w:w="794" w:type="dxa"/>
            <w:vMerge/>
            <w:tcBorders>
              <w:top w:val="nil"/>
              <w:left w:val="single" w:sz="8" w:space="0" w:color="auto"/>
              <w:bottom w:val="single" w:sz="8" w:space="0" w:color="4472C4"/>
              <w:right w:val="single" w:sz="8" w:space="0" w:color="auto"/>
            </w:tcBorders>
            <w:tcMar>
              <w:top w:w="0" w:type="dxa"/>
              <w:left w:w="108" w:type="dxa"/>
              <w:bottom w:w="0" w:type="dxa"/>
              <w:right w:w="108" w:type="dxa"/>
            </w:tcMar>
          </w:tcPr>
          <w:p w14:paraId="15A3CA6C" w14:textId="77777777" w:rsidR="00773E58" w:rsidRPr="0047424F" w:rsidRDefault="00773E58" w:rsidP="00704657">
            <w:pPr>
              <w:rPr>
                <w:rFonts w:ascii="Calibri" w:eastAsia="Calibri" w:hAnsi="Calibri" w:cs="Calibri"/>
                <w:sz w:val="12"/>
                <w:szCs w:val="12"/>
              </w:rPr>
            </w:pPr>
          </w:p>
        </w:tc>
        <w:tc>
          <w:tcPr>
            <w:tcW w:w="1856" w:type="dxa"/>
            <w:tcBorders>
              <w:top w:val="nil"/>
              <w:left w:val="nil"/>
              <w:bottom w:val="single" w:sz="8" w:space="0" w:color="4472C4"/>
              <w:right w:val="single" w:sz="8" w:space="0" w:color="auto"/>
            </w:tcBorders>
          </w:tcPr>
          <w:p w14:paraId="47993F64" w14:textId="2CF0CE78" w:rsidR="00773E58" w:rsidRPr="0047424F" w:rsidRDefault="00773E58" w:rsidP="00704657">
            <w:pPr>
              <w:rPr>
                <w:rFonts w:ascii="Calibri" w:eastAsia="Calibri" w:hAnsi="Calibri" w:cs="Calibri"/>
                <w:sz w:val="12"/>
                <w:szCs w:val="12"/>
              </w:rPr>
            </w:pPr>
            <w:r>
              <w:rPr>
                <w:rFonts w:ascii="Calibri" w:eastAsia="Calibri" w:hAnsi="Calibri" w:cs="Calibri"/>
                <w:sz w:val="12"/>
                <w:szCs w:val="12"/>
              </w:rPr>
              <w:t xml:space="preserve"> Y = 3ms</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5D21B4F8" w14:textId="77777777" w:rsidR="00773E58" w:rsidRPr="0047424F" w:rsidRDefault="00773E58" w:rsidP="00704657">
            <w:pPr>
              <w:rPr>
                <w:rFonts w:ascii="Calibri" w:eastAsia="Calibri" w:hAnsi="Calibri" w:cs="Calibri"/>
                <w:sz w:val="12"/>
                <w:szCs w:val="12"/>
                <w:lang w:val="sv-SE"/>
              </w:rPr>
            </w:pPr>
          </w:p>
        </w:tc>
        <w:tc>
          <w:tcPr>
            <w:tcW w:w="850" w:type="dxa"/>
            <w:gridSpan w:val="2"/>
            <w:tcBorders>
              <w:top w:val="nil"/>
              <w:left w:val="nil"/>
              <w:bottom w:val="single" w:sz="8" w:space="0" w:color="4472C4"/>
              <w:right w:val="single" w:sz="8" w:space="0" w:color="auto"/>
            </w:tcBorders>
            <w:tcMar>
              <w:top w:w="0" w:type="dxa"/>
              <w:left w:w="108" w:type="dxa"/>
              <w:bottom w:w="0" w:type="dxa"/>
              <w:right w:w="108" w:type="dxa"/>
            </w:tcMar>
          </w:tcPr>
          <w:p w14:paraId="71287F88" w14:textId="77777777" w:rsidR="00773E58" w:rsidRPr="0047424F" w:rsidRDefault="00773E58" w:rsidP="00704657">
            <w:pPr>
              <w:jc w:val="center"/>
              <w:rPr>
                <w:rFonts w:ascii="Calibri" w:eastAsia="Calibri" w:hAnsi="Calibri" w:cs="Calibri"/>
                <w:sz w:val="12"/>
                <w:szCs w:val="12"/>
                <w:lang w:val="sv-SE"/>
              </w:rPr>
            </w:pPr>
          </w:p>
        </w:tc>
        <w:tc>
          <w:tcPr>
            <w:tcW w:w="365" w:type="dxa"/>
            <w:tcBorders>
              <w:top w:val="nil"/>
              <w:left w:val="nil"/>
              <w:bottom w:val="single" w:sz="8" w:space="0" w:color="4472C4"/>
              <w:right w:val="single" w:sz="8" w:space="0" w:color="auto"/>
            </w:tcBorders>
            <w:tcMar>
              <w:top w:w="0" w:type="dxa"/>
              <w:left w:w="108" w:type="dxa"/>
              <w:bottom w:w="0" w:type="dxa"/>
              <w:right w:w="108" w:type="dxa"/>
            </w:tcMar>
          </w:tcPr>
          <w:p w14:paraId="39B184C2" w14:textId="77777777" w:rsidR="00773E58" w:rsidRPr="0047424F" w:rsidRDefault="00773E58"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A3EE628" w14:textId="77777777" w:rsidR="00773E58" w:rsidRPr="0047424F" w:rsidRDefault="00773E58"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A108B04" w14:textId="77777777" w:rsidR="00773E58" w:rsidRPr="0047424F" w:rsidRDefault="00773E58"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7B1BCF2" w14:textId="77777777" w:rsidR="00773E58" w:rsidRPr="0047424F" w:rsidRDefault="00773E58"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8AA5500" w14:textId="77777777" w:rsidR="00773E58" w:rsidRPr="0047424F" w:rsidRDefault="00773E58"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98BA69B" w14:textId="77777777" w:rsidR="00773E58" w:rsidRPr="0047424F" w:rsidRDefault="00773E58"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D837EB1" w14:textId="77777777" w:rsidR="00773E58" w:rsidRPr="0047424F" w:rsidRDefault="00773E58"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38A04C34" w14:textId="77777777" w:rsidR="00773E58" w:rsidRPr="0047424F" w:rsidRDefault="00773E58"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8984320" w14:textId="77777777" w:rsidR="00773E58" w:rsidRPr="0047424F" w:rsidRDefault="00773E58" w:rsidP="00704657">
            <w:pPr>
              <w:rPr>
                <w:rFonts w:ascii="Calibri" w:eastAsia="Calibri" w:hAnsi="Calibri" w:cs="Calibri"/>
                <w:sz w:val="12"/>
                <w:szCs w:val="12"/>
                <w:lang w:val="sv-SE"/>
              </w:rPr>
            </w:pPr>
          </w:p>
        </w:tc>
        <w:tc>
          <w:tcPr>
            <w:tcW w:w="1062" w:type="dxa"/>
            <w:gridSpan w:val="3"/>
            <w:tcBorders>
              <w:top w:val="nil"/>
              <w:left w:val="nil"/>
              <w:bottom w:val="single" w:sz="8" w:space="0" w:color="4472C4"/>
              <w:right w:val="single" w:sz="8" w:space="0" w:color="auto"/>
            </w:tcBorders>
            <w:tcMar>
              <w:top w:w="0" w:type="dxa"/>
              <w:left w:w="108" w:type="dxa"/>
              <w:bottom w:w="0" w:type="dxa"/>
              <w:right w:w="108" w:type="dxa"/>
            </w:tcMar>
          </w:tcPr>
          <w:p w14:paraId="2B695D7C" w14:textId="0A67A710" w:rsidR="00773E58" w:rsidRPr="0047424F" w:rsidRDefault="00773E58" w:rsidP="00773E58">
            <w:pPr>
              <w:jc w:val="center"/>
              <w:rPr>
                <w:rFonts w:ascii="Calibri" w:eastAsia="Calibri" w:hAnsi="Calibri" w:cs="Calibri"/>
                <w:sz w:val="12"/>
                <w:szCs w:val="12"/>
                <w:lang w:val="sv-SE"/>
              </w:rPr>
            </w:pPr>
            <w:r>
              <w:rPr>
                <w:rFonts w:ascii="Calibri" w:eastAsia="Calibri" w:hAnsi="Calibri" w:cs="Calibri"/>
                <w:sz w:val="12"/>
                <w:szCs w:val="12"/>
                <w:lang w:val="sv-SE"/>
              </w:rPr>
              <w:t>3ms</w:t>
            </w: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043423F5" w14:textId="77777777" w:rsidR="00773E58" w:rsidRPr="0047424F" w:rsidRDefault="00773E58"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5F543389" w14:textId="77777777" w:rsidR="00773E58" w:rsidRPr="0047424F" w:rsidRDefault="00773E58"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3C49FE30" w14:textId="77777777" w:rsidR="00773E58" w:rsidRPr="0047424F" w:rsidRDefault="00773E58"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7DA95518" w14:textId="77777777" w:rsidR="00773E58" w:rsidRPr="0047424F" w:rsidRDefault="00773E58"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64327BDE" w14:textId="77777777" w:rsidR="00773E58" w:rsidRPr="0047424F" w:rsidRDefault="00773E58" w:rsidP="00704657">
            <w:pPr>
              <w:rPr>
                <w:rFonts w:ascii="Calibri" w:eastAsia="Calibri" w:hAnsi="Calibri" w:cs="Calibri"/>
                <w:sz w:val="12"/>
                <w:szCs w:val="12"/>
                <w:lang w:val="sv-SE"/>
              </w:rPr>
            </w:pPr>
          </w:p>
        </w:tc>
      </w:tr>
    </w:tbl>
    <w:p w14:paraId="30CCD0D8" w14:textId="7154D6FC" w:rsidR="00C0403E" w:rsidRDefault="00C0403E" w:rsidP="00EF76B1">
      <w:pPr>
        <w:jc w:val="both"/>
      </w:pPr>
    </w:p>
    <w:p w14:paraId="7520406F" w14:textId="12724D13" w:rsidR="005C6199" w:rsidRPr="00462CF3" w:rsidRDefault="005C6199" w:rsidP="005C6199">
      <w:pPr>
        <w:pStyle w:val="Observation"/>
        <w:ind w:left="1701" w:hanging="1701"/>
      </w:pPr>
      <w:bookmarkStart w:id="29" w:name="_Toc115380695"/>
      <w:r>
        <w:t xml:space="preserve">When there </w:t>
      </w:r>
      <w:r w:rsidR="00EE2B75">
        <w:t>is</w:t>
      </w:r>
      <w:r>
        <w:t xml:space="preserve"> more than one HARQ process in use, the disabling approach as per “Option 2” sets the starting point (according with 3ms) for the subsequent transmission of the first HARQ process and leaves up to the eNodeB schedul</w:t>
      </w:r>
      <w:r w:rsidR="005E1D60">
        <w:t>ing</w:t>
      </w:r>
      <w:r>
        <w:t xml:space="preserve"> the subsequent transmission</w:t>
      </w:r>
      <w:r w:rsidR="00B34B3B">
        <w:t>s</w:t>
      </w:r>
      <w:r>
        <w:t xml:space="preserve"> of </w:t>
      </w:r>
      <w:r w:rsidR="00B34B3B">
        <w:t xml:space="preserve">the </w:t>
      </w:r>
      <w:r>
        <w:t>other HARQ processes.</w:t>
      </w:r>
      <w:bookmarkEnd w:id="29"/>
    </w:p>
    <w:p w14:paraId="0D3CEB6C" w14:textId="77777777" w:rsidR="005C6199" w:rsidRDefault="005C6199" w:rsidP="00EF76B1">
      <w:pPr>
        <w:jc w:val="both"/>
      </w:pPr>
    </w:p>
    <w:p w14:paraId="5E5627E4" w14:textId="0031E397" w:rsidR="005C6199" w:rsidRDefault="00670A68" w:rsidP="005C6199">
      <w:pPr>
        <w:pStyle w:val="Proposal"/>
      </w:pPr>
      <w:bookmarkStart w:id="30" w:name="_Toc115380711"/>
      <w:r>
        <w:t xml:space="preserve">For LTE-MTC, </w:t>
      </w:r>
      <w:r w:rsidR="005C6199" w:rsidRPr="00B26B35">
        <w:t xml:space="preserve">“Option 2” </w:t>
      </w:r>
      <w:r w:rsidR="005C6199">
        <w:t xml:space="preserve">resembles the expected UE behaviour </w:t>
      </w:r>
      <w:r w:rsidR="00B34B3B">
        <w:t xml:space="preserve">where 3ms </w:t>
      </w:r>
      <w:r w:rsidR="00B34B3B" w:rsidRPr="00C76E18">
        <w:t>must pass before the potential reception of a subsequent DL scheduling for the “HARQ process(es) with HARQ feedback disabled”</w:t>
      </w:r>
      <w:r w:rsidR="00B34B3B">
        <w:t xml:space="preserve">, which works </w:t>
      </w:r>
      <w:r w:rsidR="005C6199">
        <w:t>when either one HARQ process or more HARQ processes are in use’, and therefore should be the one supported.</w:t>
      </w:r>
      <w:bookmarkEnd w:id="30"/>
    </w:p>
    <w:p w14:paraId="2A453E5B" w14:textId="2F00760F" w:rsidR="005C6199" w:rsidRDefault="005C6199" w:rsidP="00B213B9">
      <w:pPr>
        <w:pStyle w:val="Proposal"/>
        <w:numPr>
          <w:ilvl w:val="0"/>
          <w:numId w:val="25"/>
        </w:numPr>
      </w:pPr>
      <w:bookmarkStart w:id="31" w:name="_Toc115380712"/>
      <w:r>
        <w:t>Option 2: UE is not required to monitor PDCCH in a period of Y(ms) from the end of reception of the last PDSCH</w:t>
      </w:r>
      <w:bookmarkEnd w:id="31"/>
    </w:p>
    <w:p w14:paraId="67C02007" w14:textId="46A287A7" w:rsidR="00037E3A" w:rsidRDefault="005C6199" w:rsidP="00B213B9">
      <w:pPr>
        <w:pStyle w:val="Proposal"/>
        <w:numPr>
          <w:ilvl w:val="0"/>
          <w:numId w:val="25"/>
        </w:numPr>
      </w:pPr>
      <w:bookmarkStart w:id="32" w:name="_Toc115380713"/>
      <w:r>
        <w:t>Y=3</w:t>
      </w:r>
      <w:bookmarkEnd w:id="32"/>
    </w:p>
    <w:p w14:paraId="2365CBD7" w14:textId="4D7D48EC" w:rsidR="00037E3A" w:rsidRDefault="00037E3A" w:rsidP="00037E3A">
      <w:pPr>
        <w:pStyle w:val="Heading1"/>
      </w:pPr>
      <w:r>
        <w:t>4</w:t>
      </w:r>
      <w:r>
        <w:tab/>
      </w:r>
      <w:r w:rsidR="00E7626B">
        <w:t>Scenario where “HARQ feedback”</w:t>
      </w:r>
      <w:r>
        <w:t xml:space="preserve"> </w:t>
      </w:r>
      <w:r w:rsidR="00E7626B">
        <w:t xml:space="preserve">is </w:t>
      </w:r>
      <w:r>
        <w:t xml:space="preserve">enabled </w:t>
      </w:r>
      <w:r w:rsidR="00E7626B">
        <w:t xml:space="preserve">for some HARQ processes </w:t>
      </w:r>
      <w:r>
        <w:t>and disabled</w:t>
      </w:r>
      <w:r w:rsidR="00E7626B">
        <w:t xml:space="preserve"> for others</w:t>
      </w:r>
    </w:p>
    <w:p w14:paraId="7AC95176" w14:textId="3ADF62BC" w:rsidR="001E3DE1" w:rsidRDefault="001E3DE1" w:rsidP="00037E3A">
      <w:pPr>
        <w:jc w:val="both"/>
      </w:pPr>
      <w:r>
        <w:t xml:space="preserve">According with the agreements, </w:t>
      </w:r>
      <w:r w:rsidRPr="001E3DE1">
        <w:t>enabling/disabling HARQ feedback</w:t>
      </w:r>
      <w:r>
        <w:t xml:space="preserve"> will be supported for IoT-NTN. Hence, how to handle a mixed scenario where</w:t>
      </w:r>
      <w:r w:rsidRPr="001E3DE1">
        <w:t xml:space="preserve"> “HARQ feedback” is enabled for some HARQ processes and disabled for </w:t>
      </w:r>
      <w:r w:rsidR="00336AD6">
        <w:t xml:space="preserve">some </w:t>
      </w:r>
      <w:r w:rsidRPr="001E3DE1">
        <w:t>other</w:t>
      </w:r>
      <w:r w:rsidR="00336AD6">
        <w:t xml:space="preserve"> one</w:t>
      </w:r>
      <w:r w:rsidRPr="001E3DE1">
        <w:t>s</w:t>
      </w:r>
      <w:r>
        <w:t xml:space="preserve"> needs to be addressed.</w:t>
      </w:r>
    </w:p>
    <w:p w14:paraId="192779AA" w14:textId="70748873" w:rsidR="00E05C63" w:rsidRDefault="00E05C63" w:rsidP="00E05C63">
      <w:pPr>
        <w:pStyle w:val="Observation"/>
        <w:ind w:left="1701" w:hanging="1701"/>
      </w:pPr>
      <w:bookmarkStart w:id="33" w:name="_Toc115380696"/>
      <w:r>
        <w:t xml:space="preserve">Given that </w:t>
      </w:r>
      <w:r w:rsidRPr="00E05C63">
        <w:t>enabling/disabling HARQ feedback will be supported for IoT-NTN</w:t>
      </w:r>
      <w:r>
        <w:t>, how to handle a mixed scenario where</w:t>
      </w:r>
      <w:r w:rsidRPr="001E3DE1">
        <w:t xml:space="preserve"> “HARQ feedback” is enabled for some HARQ processes and disabled for </w:t>
      </w:r>
      <w:r w:rsidR="00336AD6">
        <w:t>some o</w:t>
      </w:r>
      <w:r w:rsidRPr="001E3DE1">
        <w:t>ther</w:t>
      </w:r>
      <w:r w:rsidR="00336AD6">
        <w:t xml:space="preserve"> one</w:t>
      </w:r>
      <w:r w:rsidRPr="001E3DE1">
        <w:t>s</w:t>
      </w:r>
      <w:r>
        <w:t xml:space="preserve"> needs to be addressed.</w:t>
      </w:r>
      <w:bookmarkEnd w:id="33"/>
    </w:p>
    <w:p w14:paraId="1349C808" w14:textId="5043461A" w:rsidR="00037E3A" w:rsidRDefault="00037E3A" w:rsidP="00037E3A">
      <w:pPr>
        <w:jc w:val="both"/>
      </w:pPr>
      <w:r>
        <w:t xml:space="preserve">In sections </w:t>
      </w:r>
      <w:r w:rsidR="00D277F8">
        <w:t>4</w:t>
      </w:r>
      <w:r>
        <w:t xml:space="preserve">.1 and </w:t>
      </w:r>
      <w:r w:rsidR="00D277F8">
        <w:t>4</w:t>
      </w:r>
      <w:r>
        <w:t xml:space="preserve">.2 for </w:t>
      </w:r>
      <w:r w:rsidR="001F04E9">
        <w:t>NB-IoT</w:t>
      </w:r>
      <w:r w:rsidR="00D277F8">
        <w:t xml:space="preserve"> and </w:t>
      </w:r>
      <w:r w:rsidR="001F04E9">
        <w:t>LTE-MTC</w:t>
      </w:r>
      <w:r>
        <w:t xml:space="preserve"> respectively, we provide our views on this topic pointing out important legacy aspects to consider. </w:t>
      </w:r>
    </w:p>
    <w:p w14:paraId="108B94FB" w14:textId="5B82FF85" w:rsidR="00037E3A" w:rsidRDefault="00D277F8" w:rsidP="00037E3A">
      <w:pPr>
        <w:pStyle w:val="Heading2"/>
      </w:pPr>
      <w:r>
        <w:t>4</w:t>
      </w:r>
      <w:r w:rsidR="00037E3A">
        <w:t>.1</w:t>
      </w:r>
      <w:r w:rsidR="00037E3A">
        <w:tab/>
      </w:r>
      <w:r w:rsidR="001F04E9">
        <w:t>NB-IoT</w:t>
      </w:r>
      <w:r>
        <w:t xml:space="preserve">: </w:t>
      </w:r>
      <w:r w:rsidR="00037E3A" w:rsidRPr="00DA0F44">
        <w:rPr>
          <w:rFonts w:ascii="Times New Roman" w:hAnsi="Times New Roman"/>
          <w:i/>
          <w:iCs/>
        </w:rPr>
        <w:t xml:space="preserve">how to </w:t>
      </w:r>
      <w:r>
        <w:rPr>
          <w:rFonts w:ascii="Times New Roman" w:hAnsi="Times New Roman"/>
          <w:i/>
          <w:iCs/>
        </w:rPr>
        <w:t xml:space="preserve">handle a scenario </w:t>
      </w:r>
      <w:r w:rsidRPr="00D277F8">
        <w:rPr>
          <w:rFonts w:ascii="Times New Roman" w:hAnsi="Times New Roman"/>
          <w:i/>
          <w:iCs/>
        </w:rPr>
        <w:t xml:space="preserve">where “HARQ feedback” is enabled for </w:t>
      </w:r>
      <w:r w:rsidR="00D014E9">
        <w:rPr>
          <w:rFonts w:ascii="Times New Roman" w:hAnsi="Times New Roman"/>
          <w:i/>
          <w:iCs/>
        </w:rPr>
        <w:t>on</w:t>
      </w:r>
      <w:r w:rsidRPr="00D277F8">
        <w:rPr>
          <w:rFonts w:ascii="Times New Roman" w:hAnsi="Times New Roman"/>
          <w:i/>
          <w:iCs/>
        </w:rPr>
        <w:t xml:space="preserve">e HARQ processes and disabled for </w:t>
      </w:r>
      <w:r w:rsidR="00D014E9">
        <w:rPr>
          <w:rFonts w:ascii="Times New Roman" w:hAnsi="Times New Roman"/>
          <w:i/>
          <w:iCs/>
        </w:rPr>
        <w:t>the other one</w:t>
      </w:r>
      <w:r>
        <w:t>.</w:t>
      </w:r>
    </w:p>
    <w:p w14:paraId="0987E711" w14:textId="7C2BE285" w:rsidR="00D277F8" w:rsidRDefault="00225641" w:rsidP="00225641">
      <w:pPr>
        <w:jc w:val="both"/>
      </w:pPr>
      <w:r>
        <w:t xml:space="preserve">When “Disabling of HARQ feedback” is in place, </w:t>
      </w:r>
      <w:r w:rsidRPr="00225641">
        <w:t>NPUSCH Format 2</w:t>
      </w:r>
      <w:r>
        <w:t xml:space="preserve"> is not transmitted and instead </w:t>
      </w:r>
      <w:r w:rsidRPr="00225641">
        <w:t xml:space="preserve">the subsequent NPDCCH scheduling data </w:t>
      </w:r>
      <w:r>
        <w:t xml:space="preserve">is expected </w:t>
      </w:r>
      <w:r w:rsidR="00F665E5">
        <w:t xml:space="preserve">to be received </w:t>
      </w:r>
      <w:r w:rsidRPr="00225641">
        <w:t>as soon as DL monitoring is allowed</w:t>
      </w:r>
      <w:r>
        <w:t>. However, when there are two HARQ processes in use, one of them may</w:t>
      </w:r>
      <w:r w:rsidR="00F665E5">
        <w:t xml:space="preserve"> have it</w:t>
      </w:r>
      <w:r w:rsidR="003B154E">
        <w:t>s</w:t>
      </w:r>
      <w:r w:rsidR="00F665E5">
        <w:t xml:space="preserve"> “HARQ feedback</w:t>
      </w:r>
      <w:r w:rsidR="003B154E">
        <w:t xml:space="preserve"> enabled</w:t>
      </w:r>
      <w:r w:rsidR="00F665E5">
        <w:t xml:space="preserve">” whereas the other one may have its </w:t>
      </w:r>
      <w:r w:rsidR="003B154E">
        <w:t xml:space="preserve">“HARQ feedback disabled”. Below we analyse in section 4.1.1 the case where the “HARQ feedback” is </w:t>
      </w:r>
      <w:r w:rsidR="00375E4B">
        <w:t>dis</w:t>
      </w:r>
      <w:r w:rsidR="003B154E">
        <w:t>abled for the 1</w:t>
      </w:r>
      <w:r w:rsidR="003B154E" w:rsidRPr="003B154E">
        <w:rPr>
          <w:vertAlign w:val="superscript"/>
        </w:rPr>
        <w:t>st</w:t>
      </w:r>
      <w:r w:rsidR="003B154E">
        <w:t xml:space="preserve"> HARQ </w:t>
      </w:r>
      <w:r w:rsidR="003B154E">
        <w:lastRenderedPageBreak/>
        <w:t xml:space="preserve">processes and </w:t>
      </w:r>
      <w:r w:rsidR="00375E4B">
        <w:t>ena</w:t>
      </w:r>
      <w:r w:rsidR="003B154E">
        <w:t>bled for the 2</w:t>
      </w:r>
      <w:r w:rsidR="003B154E" w:rsidRPr="003B154E">
        <w:rPr>
          <w:vertAlign w:val="superscript"/>
        </w:rPr>
        <w:t>nd</w:t>
      </w:r>
      <w:r w:rsidR="003B154E">
        <w:t xml:space="preserve"> HARQ processes, and then in section 4.1.2 the other way around where the “HARQ feedback” is </w:t>
      </w:r>
      <w:r w:rsidR="00375E4B">
        <w:t>en</w:t>
      </w:r>
      <w:r w:rsidR="003B154E">
        <w:t>abled for the 1</w:t>
      </w:r>
      <w:r w:rsidR="003B154E" w:rsidRPr="003B154E">
        <w:rPr>
          <w:vertAlign w:val="superscript"/>
        </w:rPr>
        <w:t>st</w:t>
      </w:r>
      <w:r w:rsidR="003B154E">
        <w:t xml:space="preserve"> HARQ processes and </w:t>
      </w:r>
      <w:r w:rsidR="00375E4B">
        <w:t>dis</w:t>
      </w:r>
      <w:r w:rsidR="003B154E">
        <w:t>abled for the 2</w:t>
      </w:r>
      <w:r w:rsidR="003B154E" w:rsidRPr="003B154E">
        <w:rPr>
          <w:vertAlign w:val="superscript"/>
        </w:rPr>
        <w:t>nd</w:t>
      </w:r>
      <w:r w:rsidR="003B154E">
        <w:t xml:space="preserve"> HARQ processes.</w:t>
      </w:r>
    </w:p>
    <w:p w14:paraId="59456D14" w14:textId="48DE9E62" w:rsidR="00375E4B" w:rsidRPr="003B154E" w:rsidRDefault="00375E4B" w:rsidP="00375E4B">
      <w:pPr>
        <w:pStyle w:val="Heading3"/>
      </w:pPr>
      <w:r>
        <w:t>4.1.1</w:t>
      </w:r>
      <w:r>
        <w:tab/>
        <w:t>“HARQ feedback” is disabled for the 1</w:t>
      </w:r>
      <w:r w:rsidRPr="003B154E">
        <w:rPr>
          <w:vertAlign w:val="superscript"/>
        </w:rPr>
        <w:t>st</w:t>
      </w:r>
      <w:r>
        <w:t xml:space="preserve"> HARQ processes and enabled for the 2</w:t>
      </w:r>
      <w:r w:rsidRPr="003B154E">
        <w:rPr>
          <w:vertAlign w:val="superscript"/>
        </w:rPr>
        <w:t>nd</w:t>
      </w:r>
      <w:r>
        <w:t xml:space="preserve"> HARQ processes</w:t>
      </w:r>
    </w:p>
    <w:p w14:paraId="57768955" w14:textId="7D19E8C4" w:rsidR="00375E4B" w:rsidRDefault="00375E4B" w:rsidP="00375E4B">
      <w:pPr>
        <w:overflowPunct/>
        <w:autoSpaceDE/>
        <w:autoSpaceDN/>
        <w:adjustRightInd/>
        <w:spacing w:after="0"/>
        <w:jc w:val="both"/>
        <w:textAlignment w:val="auto"/>
      </w:pPr>
      <w:r>
        <w:t>In a NB-IoT scenario with two HARQ processes using “Option 2” (i.e., “</w:t>
      </w:r>
      <w:r w:rsidRPr="00632C88">
        <w:rPr>
          <w:sz w:val="16"/>
          <w:szCs w:val="16"/>
          <w:lang w:val="en-US" w:eastAsia="x-none"/>
        </w:rPr>
        <w:t xml:space="preserve">Option 2: UE is not required to monitor </w:t>
      </w:r>
      <w:r>
        <w:rPr>
          <w:sz w:val="16"/>
          <w:szCs w:val="16"/>
          <w:lang w:val="en-US" w:eastAsia="x-none"/>
        </w:rPr>
        <w:t>N</w:t>
      </w:r>
      <w:r w:rsidRPr="00632C88">
        <w:rPr>
          <w:sz w:val="16"/>
          <w:szCs w:val="16"/>
          <w:lang w:val="en-US" w:eastAsia="x-none"/>
        </w:rPr>
        <w:t xml:space="preserve">PDCCH in a period of Y(ms) from the end of reception of the last </w:t>
      </w:r>
      <w:r>
        <w:rPr>
          <w:sz w:val="16"/>
          <w:szCs w:val="16"/>
          <w:lang w:val="en-US" w:eastAsia="x-none"/>
        </w:rPr>
        <w:t>N</w:t>
      </w:r>
      <w:r w:rsidRPr="00632C88">
        <w:rPr>
          <w:sz w:val="16"/>
          <w:szCs w:val="16"/>
          <w:lang w:val="en-US" w:eastAsia="x-none"/>
        </w:rPr>
        <w:t>PDSCH</w:t>
      </w:r>
      <w:r>
        <w:rPr>
          <w:sz w:val="16"/>
          <w:szCs w:val="16"/>
          <w:lang w:val="en-US" w:eastAsia="x-none"/>
        </w:rPr>
        <w:t xml:space="preserve">, </w:t>
      </w:r>
      <w:r w:rsidRPr="00632C88">
        <w:rPr>
          <w:sz w:val="16"/>
          <w:szCs w:val="16"/>
          <w:lang w:val="en-US" w:eastAsia="x-none"/>
        </w:rPr>
        <w:t>Y=</w:t>
      </w:r>
      <w:r>
        <w:rPr>
          <w:sz w:val="16"/>
          <w:szCs w:val="16"/>
          <w:lang w:val="en-US" w:eastAsia="x-none"/>
        </w:rPr>
        <w:t>12</w:t>
      </w:r>
      <w:r>
        <w:t xml:space="preserve">”), we analyse the case where the </w:t>
      </w:r>
      <w:r w:rsidRPr="00191801">
        <w:t xml:space="preserve">“HARQ feedback” is </w:t>
      </w:r>
      <w:r>
        <w:t>dis</w:t>
      </w:r>
      <w:r w:rsidRPr="00191801">
        <w:t>abled for the 1</w:t>
      </w:r>
      <w:r w:rsidRPr="000C0E57">
        <w:rPr>
          <w:vertAlign w:val="superscript"/>
        </w:rPr>
        <w:t>st</w:t>
      </w:r>
      <w:r w:rsidRPr="00191801">
        <w:t xml:space="preserve"> HARQ processes and </w:t>
      </w:r>
      <w:r>
        <w:t>ena</w:t>
      </w:r>
      <w:r w:rsidRPr="00191801">
        <w:t>bled for the 2</w:t>
      </w:r>
      <w:r w:rsidRPr="000C0E57">
        <w:rPr>
          <w:vertAlign w:val="superscript"/>
        </w:rPr>
        <w:t>nd</w:t>
      </w:r>
      <w:r w:rsidRPr="00191801">
        <w:t xml:space="preserve"> HARQ processes</w:t>
      </w:r>
      <w:r>
        <w:t>.</w:t>
      </w:r>
    </w:p>
    <w:p w14:paraId="797F5F63" w14:textId="77777777" w:rsidR="00375E4B" w:rsidRPr="000C0E57" w:rsidRDefault="00375E4B" w:rsidP="00375E4B">
      <w:pPr>
        <w:overflowPunct/>
        <w:autoSpaceDE/>
        <w:autoSpaceDN/>
        <w:adjustRightInd/>
        <w:spacing w:after="0"/>
        <w:jc w:val="both"/>
        <w:textAlignment w:val="auto"/>
        <w:rPr>
          <w:sz w:val="16"/>
          <w:szCs w:val="16"/>
          <w:lang w:val="en-US" w:eastAsia="x-none"/>
        </w:rPr>
      </w:pPr>
    </w:p>
    <w:p w14:paraId="267B4D2E" w14:textId="4C466D09" w:rsidR="00375E4B" w:rsidRPr="00A87D48" w:rsidRDefault="00375E4B" w:rsidP="00375E4B">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5</w:t>
      </w:r>
      <w:r w:rsidR="005D0BD2">
        <w:rPr>
          <w:rFonts w:ascii="Times New Roman" w:hAnsi="Times New Roman"/>
          <w:sz w:val="16"/>
          <w:szCs w:val="16"/>
          <w:lang w:eastAsia="ja-JP"/>
        </w:rPr>
        <w:t>A</w:t>
      </w:r>
      <w:r w:rsidRPr="00A87D48">
        <w:rPr>
          <w:rFonts w:ascii="Times New Roman" w:hAnsi="Times New Roman"/>
          <w:sz w:val="16"/>
          <w:szCs w:val="16"/>
          <w:lang w:eastAsia="ja-JP"/>
        </w:rPr>
        <w:t xml:space="preserve">: </w:t>
      </w:r>
      <w:r>
        <w:rPr>
          <w:rFonts w:ascii="Times New Roman" w:hAnsi="Times New Roman"/>
          <w:sz w:val="16"/>
          <w:szCs w:val="16"/>
          <w:lang w:eastAsia="ja-JP"/>
        </w:rPr>
        <w:t>Option 2,</w:t>
      </w:r>
      <w:r w:rsidRPr="006A54A2">
        <w:rPr>
          <w:rFonts w:ascii="Times New Roman" w:hAnsi="Times New Roman"/>
          <w:sz w:val="16"/>
          <w:szCs w:val="16"/>
          <w:lang w:eastAsia="ja-JP"/>
        </w:rPr>
        <w:t xml:space="preserve"> </w:t>
      </w:r>
      <w:r>
        <w:rPr>
          <w:rFonts w:ascii="Times New Roman" w:hAnsi="Times New Roman"/>
          <w:sz w:val="16"/>
          <w:szCs w:val="16"/>
          <w:lang w:eastAsia="ja-JP"/>
        </w:rPr>
        <w:t>Two</w:t>
      </w:r>
      <w:r w:rsidRPr="006A54A2">
        <w:rPr>
          <w:rFonts w:ascii="Times New Roman" w:hAnsi="Times New Roman"/>
          <w:sz w:val="16"/>
          <w:szCs w:val="16"/>
          <w:lang w:eastAsia="ja-JP"/>
        </w:rPr>
        <w:t xml:space="preserve"> HARQ</w:t>
      </w:r>
      <w:r>
        <w:rPr>
          <w:rFonts w:ascii="Times New Roman" w:hAnsi="Times New Roman"/>
          <w:sz w:val="16"/>
          <w:szCs w:val="16"/>
          <w:lang w:eastAsia="ja-JP"/>
        </w:rPr>
        <w:t xml:space="preserve"> processes</w:t>
      </w:r>
      <w:r w:rsidRPr="006A54A2">
        <w:rPr>
          <w:rFonts w:ascii="Times New Roman" w:hAnsi="Times New Roman"/>
          <w:sz w:val="16"/>
          <w:szCs w:val="16"/>
          <w:lang w:eastAsia="ja-JP"/>
        </w:rPr>
        <w:t xml:space="preserve"> </w:t>
      </w:r>
      <w:r>
        <w:rPr>
          <w:rFonts w:ascii="Times New Roman" w:hAnsi="Times New Roman"/>
          <w:sz w:val="16"/>
          <w:szCs w:val="16"/>
          <w:lang w:eastAsia="ja-JP"/>
        </w:rPr>
        <w:t xml:space="preserve">where </w:t>
      </w:r>
      <w:r w:rsidRPr="00F86B15">
        <w:rPr>
          <w:rFonts w:ascii="Times New Roman" w:hAnsi="Times New Roman"/>
          <w:sz w:val="16"/>
          <w:szCs w:val="16"/>
          <w:lang w:eastAsia="ja-JP"/>
        </w:rPr>
        <w:t>“HARQ feedback” is disabled for the 1</w:t>
      </w:r>
      <w:r w:rsidRPr="00F86B15">
        <w:rPr>
          <w:rFonts w:ascii="Times New Roman" w:hAnsi="Times New Roman"/>
          <w:sz w:val="16"/>
          <w:szCs w:val="16"/>
          <w:vertAlign w:val="superscript"/>
          <w:lang w:eastAsia="ja-JP"/>
        </w:rPr>
        <w:t>st</w:t>
      </w:r>
      <w:r w:rsidRPr="00F86B15">
        <w:rPr>
          <w:rFonts w:ascii="Times New Roman" w:hAnsi="Times New Roman"/>
          <w:sz w:val="16"/>
          <w:szCs w:val="16"/>
          <w:lang w:eastAsia="ja-JP"/>
        </w:rPr>
        <w:t xml:space="preserve"> HARQ processes and enabled for the 2</w:t>
      </w:r>
      <w:r w:rsidRPr="00F86B15">
        <w:rPr>
          <w:rFonts w:ascii="Times New Roman" w:hAnsi="Times New Roman"/>
          <w:sz w:val="16"/>
          <w:szCs w:val="16"/>
          <w:vertAlign w:val="superscript"/>
          <w:lang w:eastAsia="ja-JP"/>
        </w:rPr>
        <w:t>nd</w:t>
      </w:r>
      <w:r w:rsidRPr="00F86B15">
        <w:rPr>
          <w:rFonts w:ascii="Times New Roman" w:hAnsi="Times New Roman"/>
          <w:sz w:val="16"/>
          <w:szCs w:val="16"/>
          <w:lang w:eastAsia="ja-JP"/>
        </w:rPr>
        <w:t xml:space="preserve"> HARQ processes</w:t>
      </w:r>
    </w:p>
    <w:tbl>
      <w:tblPr>
        <w:tblW w:w="9869" w:type="dxa"/>
        <w:tblInd w:w="-118" w:type="dxa"/>
        <w:tblLayout w:type="fixed"/>
        <w:tblCellMar>
          <w:left w:w="0" w:type="dxa"/>
          <w:right w:w="0" w:type="dxa"/>
        </w:tblCellMar>
        <w:tblLook w:val="04A0" w:firstRow="1" w:lastRow="0" w:firstColumn="1" w:lastColumn="0" w:noHBand="0" w:noVBand="1"/>
      </w:tblPr>
      <w:tblGrid>
        <w:gridCol w:w="534"/>
        <w:gridCol w:w="577"/>
        <w:gridCol w:w="277"/>
        <w:gridCol w:w="277"/>
        <w:gridCol w:w="277"/>
        <w:gridCol w:w="277"/>
        <w:gridCol w:w="277"/>
        <w:gridCol w:w="277"/>
        <w:gridCol w:w="277"/>
        <w:gridCol w:w="277"/>
        <w:gridCol w:w="277"/>
        <w:gridCol w:w="277"/>
        <w:gridCol w:w="328"/>
        <w:gridCol w:w="328"/>
        <w:gridCol w:w="328"/>
        <w:gridCol w:w="328"/>
        <w:gridCol w:w="328"/>
        <w:gridCol w:w="328"/>
        <w:gridCol w:w="328"/>
        <w:gridCol w:w="328"/>
        <w:gridCol w:w="328"/>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tblGrid>
      <w:tr w:rsidR="00375E4B" w:rsidRPr="001531A8" w14:paraId="17C5BE9D" w14:textId="77777777" w:rsidTr="00704657">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CAD0F" w14:textId="77777777" w:rsidR="00375E4B" w:rsidRDefault="00375E4B"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Conflict due to the not possible Tx and Rx at the same time</w:t>
            </w:r>
          </w:p>
        </w:tc>
        <w:tc>
          <w:tcPr>
            <w:tcW w:w="277" w:type="dxa"/>
            <w:tcBorders>
              <w:top w:val="single" w:sz="8" w:space="0" w:color="auto"/>
              <w:left w:val="nil"/>
              <w:right w:val="single" w:sz="8" w:space="0" w:color="auto"/>
            </w:tcBorders>
            <w:tcMar>
              <w:top w:w="0" w:type="dxa"/>
              <w:left w:w="108" w:type="dxa"/>
              <w:bottom w:w="0" w:type="dxa"/>
              <w:right w:w="108" w:type="dxa"/>
            </w:tcMar>
          </w:tcPr>
          <w:p w14:paraId="0F98000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44DAE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8E1CF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A1C2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16D7A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6F6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CD2DB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806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2ADA0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FB9DA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DCF33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74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389E3C"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1B4A26"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F8724B"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55C9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FE19A6"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2AB466"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7754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83B4F4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65C535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EF7266C"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A89DEF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63A97F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0E5E050"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DDB2C4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C3DDFF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CC576C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E6A495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E8B9BE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CE85026"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7577ED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2AB0C47"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702BC6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F02DFF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C56B5B7"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585DCA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B70100D" w14:textId="77777777" w:rsidR="00375E4B" w:rsidRDefault="00375E4B" w:rsidP="00704657">
            <w:pPr>
              <w:overflowPunct/>
              <w:autoSpaceDE/>
              <w:autoSpaceDN/>
              <w:adjustRightInd/>
              <w:spacing w:after="0"/>
              <w:jc w:val="center"/>
              <w:textAlignment w:val="auto"/>
              <w:rPr>
                <w:rFonts w:asciiTheme="minorHAnsi" w:hAnsiTheme="minorHAnsi" w:cstheme="minorHAnsi"/>
                <w:color w:val="FF0000"/>
                <w:sz w:val="11"/>
                <w:szCs w:val="11"/>
                <w:lang w:eastAsia="en-GB"/>
              </w:rPr>
            </w:pPr>
          </w:p>
          <w:p w14:paraId="05247A8C" w14:textId="77777777" w:rsidR="00375E4B" w:rsidRDefault="00375E4B" w:rsidP="00704657">
            <w:pPr>
              <w:overflowPunct/>
              <w:autoSpaceDE/>
              <w:autoSpaceDN/>
              <w:adjustRightInd/>
              <w:spacing w:after="0"/>
              <w:jc w:val="center"/>
              <w:textAlignment w:val="auto"/>
              <w:rPr>
                <w:rFonts w:asciiTheme="minorHAnsi" w:hAnsiTheme="minorHAnsi" w:cstheme="minorHAnsi"/>
                <w:sz w:val="11"/>
                <w:szCs w:val="11"/>
                <w:lang w:eastAsia="en-GB"/>
              </w:rPr>
            </w:pPr>
            <w:r w:rsidRPr="00795DED">
              <w:rPr>
                <w:rFonts w:asciiTheme="minorHAnsi" w:hAnsiTheme="minorHAnsi" w:cstheme="minorHAnsi"/>
                <w:color w:val="FF0000"/>
                <w:sz w:val="11"/>
                <w:szCs w:val="11"/>
                <w:lang w:eastAsia="en-GB"/>
              </w:rPr>
              <w:t>X</w:t>
            </w:r>
          </w:p>
        </w:tc>
        <w:tc>
          <w:tcPr>
            <w:tcW w:w="132" w:type="dxa"/>
            <w:tcBorders>
              <w:top w:val="single" w:sz="8" w:space="0" w:color="auto"/>
              <w:left w:val="nil"/>
              <w:bottom w:val="single" w:sz="8" w:space="0" w:color="auto"/>
              <w:right w:val="single" w:sz="8" w:space="0" w:color="auto"/>
            </w:tcBorders>
          </w:tcPr>
          <w:p w14:paraId="637E0CB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5B9FF93" w14:textId="77777777" w:rsidR="00375E4B"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B8E8E5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6F81EE3"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r>
      <w:tr w:rsidR="00375E4B" w:rsidRPr="001531A8" w14:paraId="0F13A7EE" w14:textId="77777777" w:rsidTr="00704657">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E3FD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Earliest DL Reception of the subsequent HARQ Process as per “Option 2”</w:t>
            </w:r>
          </w:p>
        </w:tc>
        <w:tc>
          <w:tcPr>
            <w:tcW w:w="277" w:type="dxa"/>
            <w:tcBorders>
              <w:top w:val="single" w:sz="8" w:space="0" w:color="auto"/>
              <w:left w:val="nil"/>
              <w:right w:val="single" w:sz="8" w:space="0" w:color="auto"/>
            </w:tcBorders>
            <w:tcMar>
              <w:top w:w="0" w:type="dxa"/>
              <w:left w:w="108" w:type="dxa"/>
              <w:bottom w:w="0" w:type="dxa"/>
              <w:right w:w="108" w:type="dxa"/>
            </w:tcMar>
          </w:tcPr>
          <w:p w14:paraId="4153D46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0931B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C5045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441C5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FF882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1603A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6D0D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D6CAA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86C5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D1F88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37936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1FCBA3"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D3FC8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C092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491BC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BA801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D20A43"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E0A6D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6DAC13"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06F1530"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08CCCCB"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499796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ED3A01C"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7B252C0"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F1D5DE7"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4A82BB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2A1687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53263EC"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930066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272EB63"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DBD0C4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88C0AE7"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F8B325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A16CEB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805AC5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CB10EF8"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F9834FB"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0080C0"/>
          </w:tcPr>
          <w:p w14:paraId="6D3568CF" w14:textId="77777777" w:rsidR="00375E4B" w:rsidRDefault="00375E4B" w:rsidP="00704657">
            <w:pPr>
              <w:overflowPunct/>
              <w:autoSpaceDE/>
              <w:autoSpaceDN/>
              <w:adjustRightInd/>
              <w:spacing w:after="0"/>
              <w:textAlignment w:val="auto"/>
              <w:rPr>
                <w:rFonts w:asciiTheme="minorHAnsi" w:hAnsiTheme="minorHAnsi" w:cstheme="minorHAnsi"/>
                <w:sz w:val="11"/>
                <w:szCs w:val="11"/>
                <w:lang w:eastAsia="en-GB"/>
              </w:rPr>
            </w:pPr>
          </w:p>
          <w:p w14:paraId="3502AF0E" w14:textId="77777777" w:rsidR="00375E4B" w:rsidRDefault="00375E4B" w:rsidP="00704657">
            <w:pPr>
              <w:overflowPunct/>
              <w:autoSpaceDE/>
              <w:autoSpaceDN/>
              <w:adjustRightInd/>
              <w:spacing w:after="0"/>
              <w:textAlignment w:val="auto"/>
              <w:rPr>
                <w:rFonts w:asciiTheme="minorHAnsi" w:hAnsiTheme="minorHAnsi" w:cstheme="minorHAnsi"/>
                <w:sz w:val="11"/>
                <w:szCs w:val="11"/>
                <w:lang w:eastAsia="en-GB"/>
              </w:rPr>
            </w:pPr>
          </w:p>
          <w:p w14:paraId="43028E9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542617C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46AA846" w14:textId="77777777" w:rsidR="00375E4B" w:rsidRDefault="00375E4B" w:rsidP="00704657">
            <w:pPr>
              <w:overflowPunct/>
              <w:autoSpaceDE/>
              <w:autoSpaceDN/>
              <w:adjustRightInd/>
              <w:spacing w:after="0"/>
              <w:textAlignment w:val="auto"/>
              <w:rPr>
                <w:rFonts w:asciiTheme="minorHAnsi" w:hAnsiTheme="minorHAnsi" w:cstheme="minorHAnsi"/>
                <w:sz w:val="11"/>
                <w:szCs w:val="11"/>
                <w:lang w:eastAsia="en-GB"/>
              </w:rPr>
            </w:pPr>
          </w:p>
          <w:p w14:paraId="1AC658C1" w14:textId="77777777" w:rsidR="00375E4B" w:rsidRDefault="00375E4B" w:rsidP="00704657">
            <w:pPr>
              <w:overflowPunct/>
              <w:autoSpaceDE/>
              <w:autoSpaceDN/>
              <w:adjustRightInd/>
              <w:spacing w:after="0"/>
              <w:textAlignment w:val="auto"/>
              <w:rPr>
                <w:rFonts w:asciiTheme="minorHAnsi" w:hAnsiTheme="minorHAnsi" w:cstheme="minorHAnsi"/>
                <w:sz w:val="11"/>
                <w:szCs w:val="11"/>
                <w:lang w:eastAsia="en-GB"/>
              </w:rPr>
            </w:pPr>
          </w:p>
          <w:p w14:paraId="464796FD"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3784E90"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96ABE4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p>
        </w:tc>
      </w:tr>
      <w:tr w:rsidR="00375E4B" w:rsidRPr="001531A8" w14:paraId="0B3DE20E" w14:textId="77777777" w:rsidTr="00704657">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1E170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val="sv-SE" w:eastAsia="en-GB"/>
              </w:rPr>
            </w:pPr>
            <w:r w:rsidRPr="001531A8">
              <w:rPr>
                <w:rFonts w:asciiTheme="minorHAnsi" w:hAnsiTheme="minorHAnsi" w:cstheme="minorHAnsi"/>
                <w:sz w:val="12"/>
                <w:szCs w:val="12"/>
                <w:lang w:eastAsia="en-GB"/>
              </w:rPr>
              <w:t>Subrame#</w:t>
            </w:r>
          </w:p>
        </w:tc>
        <w:tc>
          <w:tcPr>
            <w:tcW w:w="277" w:type="dxa"/>
            <w:tcBorders>
              <w:top w:val="single" w:sz="8" w:space="0" w:color="auto"/>
              <w:left w:val="nil"/>
              <w:right w:val="single" w:sz="8" w:space="0" w:color="auto"/>
            </w:tcBorders>
            <w:tcMar>
              <w:top w:w="0" w:type="dxa"/>
              <w:left w:w="108" w:type="dxa"/>
              <w:bottom w:w="0" w:type="dxa"/>
              <w:right w:w="108" w:type="dxa"/>
            </w:tcMar>
            <w:hideMark/>
          </w:tcPr>
          <w:p w14:paraId="1D66188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884C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99DCC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B83B2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3089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2E2BA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D7D7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3D36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6178E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7D3A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9</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FFED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10</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5169E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11</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57D7C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12</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D8426"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13</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368A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14</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2365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15</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3A99F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16</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2739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17</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8A11F"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18</w:t>
            </w:r>
          </w:p>
        </w:tc>
        <w:tc>
          <w:tcPr>
            <w:tcW w:w="132" w:type="dxa"/>
            <w:tcBorders>
              <w:top w:val="single" w:sz="8" w:space="0" w:color="auto"/>
              <w:left w:val="nil"/>
              <w:bottom w:val="single" w:sz="8" w:space="0" w:color="auto"/>
              <w:right w:val="single" w:sz="8" w:space="0" w:color="auto"/>
            </w:tcBorders>
            <w:hideMark/>
          </w:tcPr>
          <w:p w14:paraId="7F9A107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19</w:t>
            </w:r>
          </w:p>
        </w:tc>
        <w:tc>
          <w:tcPr>
            <w:tcW w:w="132" w:type="dxa"/>
            <w:tcBorders>
              <w:top w:val="single" w:sz="8" w:space="0" w:color="auto"/>
              <w:left w:val="nil"/>
              <w:bottom w:val="single" w:sz="8" w:space="0" w:color="auto"/>
              <w:right w:val="single" w:sz="8" w:space="0" w:color="auto"/>
            </w:tcBorders>
            <w:hideMark/>
          </w:tcPr>
          <w:p w14:paraId="54771FF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20</w:t>
            </w:r>
          </w:p>
        </w:tc>
        <w:tc>
          <w:tcPr>
            <w:tcW w:w="132" w:type="dxa"/>
            <w:tcBorders>
              <w:top w:val="single" w:sz="8" w:space="0" w:color="auto"/>
              <w:left w:val="nil"/>
              <w:bottom w:val="single" w:sz="8" w:space="0" w:color="auto"/>
              <w:right w:val="single" w:sz="8" w:space="0" w:color="auto"/>
            </w:tcBorders>
            <w:hideMark/>
          </w:tcPr>
          <w:p w14:paraId="791131B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21</w:t>
            </w:r>
          </w:p>
        </w:tc>
        <w:tc>
          <w:tcPr>
            <w:tcW w:w="132" w:type="dxa"/>
            <w:tcBorders>
              <w:top w:val="single" w:sz="8" w:space="0" w:color="auto"/>
              <w:left w:val="nil"/>
              <w:bottom w:val="single" w:sz="8" w:space="0" w:color="auto"/>
              <w:right w:val="single" w:sz="8" w:space="0" w:color="auto"/>
            </w:tcBorders>
            <w:hideMark/>
          </w:tcPr>
          <w:p w14:paraId="23AC6F0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22</w:t>
            </w:r>
          </w:p>
        </w:tc>
        <w:tc>
          <w:tcPr>
            <w:tcW w:w="132" w:type="dxa"/>
            <w:tcBorders>
              <w:top w:val="single" w:sz="8" w:space="0" w:color="auto"/>
              <w:left w:val="nil"/>
              <w:bottom w:val="single" w:sz="8" w:space="0" w:color="auto"/>
              <w:right w:val="single" w:sz="8" w:space="0" w:color="auto"/>
            </w:tcBorders>
            <w:hideMark/>
          </w:tcPr>
          <w:p w14:paraId="292B3E3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23</w:t>
            </w:r>
          </w:p>
        </w:tc>
        <w:tc>
          <w:tcPr>
            <w:tcW w:w="132" w:type="dxa"/>
            <w:tcBorders>
              <w:top w:val="single" w:sz="8" w:space="0" w:color="auto"/>
              <w:left w:val="nil"/>
              <w:bottom w:val="single" w:sz="8" w:space="0" w:color="auto"/>
              <w:right w:val="single" w:sz="8" w:space="0" w:color="auto"/>
            </w:tcBorders>
            <w:hideMark/>
          </w:tcPr>
          <w:p w14:paraId="7AFEE7C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24</w:t>
            </w:r>
          </w:p>
        </w:tc>
        <w:tc>
          <w:tcPr>
            <w:tcW w:w="132" w:type="dxa"/>
            <w:tcBorders>
              <w:top w:val="single" w:sz="8" w:space="0" w:color="auto"/>
              <w:left w:val="nil"/>
              <w:bottom w:val="single" w:sz="8" w:space="0" w:color="auto"/>
              <w:right w:val="single" w:sz="8" w:space="0" w:color="auto"/>
            </w:tcBorders>
            <w:hideMark/>
          </w:tcPr>
          <w:p w14:paraId="200E735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25</w:t>
            </w:r>
          </w:p>
        </w:tc>
        <w:tc>
          <w:tcPr>
            <w:tcW w:w="132" w:type="dxa"/>
            <w:tcBorders>
              <w:top w:val="single" w:sz="8" w:space="0" w:color="auto"/>
              <w:left w:val="nil"/>
              <w:bottom w:val="single" w:sz="8" w:space="0" w:color="auto"/>
              <w:right w:val="single" w:sz="8" w:space="0" w:color="auto"/>
            </w:tcBorders>
            <w:hideMark/>
          </w:tcPr>
          <w:p w14:paraId="656AC2E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26</w:t>
            </w:r>
          </w:p>
        </w:tc>
        <w:tc>
          <w:tcPr>
            <w:tcW w:w="132" w:type="dxa"/>
            <w:tcBorders>
              <w:top w:val="single" w:sz="8" w:space="0" w:color="auto"/>
              <w:left w:val="nil"/>
              <w:bottom w:val="single" w:sz="8" w:space="0" w:color="auto"/>
              <w:right w:val="single" w:sz="8" w:space="0" w:color="auto"/>
            </w:tcBorders>
            <w:hideMark/>
          </w:tcPr>
          <w:p w14:paraId="4BC478B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27</w:t>
            </w:r>
          </w:p>
        </w:tc>
        <w:tc>
          <w:tcPr>
            <w:tcW w:w="132" w:type="dxa"/>
            <w:tcBorders>
              <w:top w:val="single" w:sz="8" w:space="0" w:color="auto"/>
              <w:left w:val="nil"/>
              <w:bottom w:val="single" w:sz="8" w:space="0" w:color="auto"/>
              <w:right w:val="single" w:sz="8" w:space="0" w:color="auto"/>
            </w:tcBorders>
            <w:hideMark/>
          </w:tcPr>
          <w:p w14:paraId="4B57683B"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28</w:t>
            </w:r>
          </w:p>
        </w:tc>
        <w:tc>
          <w:tcPr>
            <w:tcW w:w="132" w:type="dxa"/>
            <w:tcBorders>
              <w:top w:val="single" w:sz="8" w:space="0" w:color="auto"/>
              <w:left w:val="nil"/>
              <w:bottom w:val="single" w:sz="8" w:space="0" w:color="auto"/>
              <w:right w:val="single" w:sz="8" w:space="0" w:color="auto"/>
            </w:tcBorders>
            <w:hideMark/>
          </w:tcPr>
          <w:p w14:paraId="73468D47"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29</w:t>
            </w:r>
          </w:p>
        </w:tc>
        <w:tc>
          <w:tcPr>
            <w:tcW w:w="132" w:type="dxa"/>
            <w:tcBorders>
              <w:top w:val="single" w:sz="8" w:space="0" w:color="auto"/>
              <w:left w:val="nil"/>
              <w:bottom w:val="single" w:sz="8" w:space="0" w:color="auto"/>
              <w:right w:val="single" w:sz="8" w:space="0" w:color="auto"/>
            </w:tcBorders>
            <w:hideMark/>
          </w:tcPr>
          <w:p w14:paraId="74A6C192"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30</w:t>
            </w:r>
          </w:p>
        </w:tc>
        <w:tc>
          <w:tcPr>
            <w:tcW w:w="132" w:type="dxa"/>
            <w:tcBorders>
              <w:top w:val="single" w:sz="8" w:space="0" w:color="auto"/>
              <w:left w:val="nil"/>
              <w:bottom w:val="single" w:sz="8" w:space="0" w:color="auto"/>
              <w:right w:val="single" w:sz="8" w:space="0" w:color="auto"/>
            </w:tcBorders>
            <w:hideMark/>
          </w:tcPr>
          <w:p w14:paraId="3C5CE3B8"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31</w:t>
            </w:r>
          </w:p>
        </w:tc>
        <w:tc>
          <w:tcPr>
            <w:tcW w:w="132" w:type="dxa"/>
            <w:tcBorders>
              <w:top w:val="single" w:sz="8" w:space="0" w:color="auto"/>
              <w:left w:val="nil"/>
              <w:bottom w:val="single" w:sz="8" w:space="0" w:color="auto"/>
              <w:right w:val="single" w:sz="8" w:space="0" w:color="auto"/>
            </w:tcBorders>
            <w:hideMark/>
          </w:tcPr>
          <w:p w14:paraId="5298D00D"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32</w:t>
            </w:r>
          </w:p>
        </w:tc>
        <w:tc>
          <w:tcPr>
            <w:tcW w:w="132" w:type="dxa"/>
            <w:tcBorders>
              <w:top w:val="single" w:sz="8" w:space="0" w:color="auto"/>
              <w:left w:val="nil"/>
              <w:bottom w:val="single" w:sz="8" w:space="0" w:color="auto"/>
              <w:right w:val="single" w:sz="8" w:space="0" w:color="auto"/>
            </w:tcBorders>
            <w:hideMark/>
          </w:tcPr>
          <w:p w14:paraId="4B726421"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33</w:t>
            </w:r>
          </w:p>
        </w:tc>
        <w:tc>
          <w:tcPr>
            <w:tcW w:w="132" w:type="dxa"/>
            <w:tcBorders>
              <w:top w:val="single" w:sz="8" w:space="0" w:color="auto"/>
              <w:left w:val="nil"/>
              <w:bottom w:val="single" w:sz="8" w:space="0" w:color="auto"/>
              <w:right w:val="single" w:sz="8" w:space="0" w:color="auto"/>
            </w:tcBorders>
            <w:hideMark/>
          </w:tcPr>
          <w:p w14:paraId="7E7824EB"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34</w:t>
            </w:r>
          </w:p>
        </w:tc>
        <w:tc>
          <w:tcPr>
            <w:tcW w:w="132" w:type="dxa"/>
            <w:tcBorders>
              <w:top w:val="single" w:sz="8" w:space="0" w:color="auto"/>
              <w:left w:val="nil"/>
              <w:bottom w:val="single" w:sz="8" w:space="0" w:color="auto"/>
              <w:right w:val="single" w:sz="8" w:space="0" w:color="auto"/>
            </w:tcBorders>
            <w:hideMark/>
          </w:tcPr>
          <w:p w14:paraId="622D50E4"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35</w:t>
            </w:r>
          </w:p>
        </w:tc>
        <w:tc>
          <w:tcPr>
            <w:tcW w:w="132" w:type="dxa"/>
            <w:tcBorders>
              <w:top w:val="single" w:sz="8" w:space="0" w:color="auto"/>
              <w:left w:val="nil"/>
              <w:bottom w:val="single" w:sz="8" w:space="0" w:color="auto"/>
              <w:right w:val="single" w:sz="8" w:space="0" w:color="auto"/>
            </w:tcBorders>
            <w:hideMark/>
          </w:tcPr>
          <w:p w14:paraId="7F852F0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36</w:t>
            </w:r>
          </w:p>
        </w:tc>
        <w:tc>
          <w:tcPr>
            <w:tcW w:w="132" w:type="dxa"/>
            <w:tcBorders>
              <w:top w:val="single" w:sz="8" w:space="0" w:color="auto"/>
              <w:left w:val="nil"/>
              <w:bottom w:val="single" w:sz="8" w:space="0" w:color="auto"/>
              <w:right w:val="single" w:sz="8" w:space="0" w:color="auto"/>
            </w:tcBorders>
            <w:hideMark/>
          </w:tcPr>
          <w:p w14:paraId="336A8845"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37</w:t>
            </w:r>
          </w:p>
        </w:tc>
        <w:tc>
          <w:tcPr>
            <w:tcW w:w="132" w:type="dxa"/>
            <w:tcBorders>
              <w:top w:val="single" w:sz="8" w:space="0" w:color="auto"/>
              <w:left w:val="nil"/>
              <w:bottom w:val="single" w:sz="8" w:space="0" w:color="auto"/>
              <w:right w:val="single" w:sz="8" w:space="0" w:color="auto"/>
            </w:tcBorders>
            <w:hideMark/>
          </w:tcPr>
          <w:p w14:paraId="18FA9FCD"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38</w:t>
            </w:r>
          </w:p>
        </w:tc>
        <w:tc>
          <w:tcPr>
            <w:tcW w:w="132" w:type="dxa"/>
            <w:tcBorders>
              <w:top w:val="single" w:sz="8" w:space="0" w:color="auto"/>
              <w:left w:val="nil"/>
              <w:bottom w:val="single" w:sz="8" w:space="0" w:color="auto"/>
              <w:right w:val="single" w:sz="8" w:space="0" w:color="auto"/>
            </w:tcBorders>
            <w:hideMark/>
          </w:tcPr>
          <w:p w14:paraId="61D1420E"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39</w:t>
            </w:r>
          </w:p>
        </w:tc>
        <w:tc>
          <w:tcPr>
            <w:tcW w:w="132" w:type="dxa"/>
            <w:tcBorders>
              <w:top w:val="single" w:sz="8" w:space="0" w:color="auto"/>
              <w:left w:val="nil"/>
              <w:bottom w:val="single" w:sz="8" w:space="0" w:color="auto"/>
              <w:right w:val="single" w:sz="8" w:space="0" w:color="auto"/>
            </w:tcBorders>
            <w:hideMark/>
          </w:tcPr>
          <w:p w14:paraId="33DFF0F9"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40</w:t>
            </w:r>
          </w:p>
        </w:tc>
        <w:tc>
          <w:tcPr>
            <w:tcW w:w="132" w:type="dxa"/>
            <w:tcBorders>
              <w:top w:val="single" w:sz="8" w:space="0" w:color="auto"/>
              <w:left w:val="nil"/>
              <w:bottom w:val="single" w:sz="8" w:space="0" w:color="auto"/>
              <w:right w:val="single" w:sz="8" w:space="0" w:color="auto"/>
            </w:tcBorders>
          </w:tcPr>
          <w:p w14:paraId="312C4ACA" w14:textId="77777777" w:rsidR="00375E4B" w:rsidRPr="001531A8" w:rsidRDefault="00375E4B"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r>
      <w:tr w:rsidR="00375E4B" w:rsidRPr="001531A8" w14:paraId="65522D5A" w14:textId="77777777" w:rsidTr="00704657">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5EF2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NPDCCH</w:t>
            </w:r>
          </w:p>
        </w:tc>
        <w:tc>
          <w:tcPr>
            <w:tcW w:w="277" w:type="dxa"/>
            <w:tcBorders>
              <w:top w:val="nil"/>
              <w:left w:val="nil"/>
              <w:bottom w:val="single" w:sz="8" w:space="0" w:color="4472C4"/>
              <w:right w:val="single" w:sz="8" w:space="0" w:color="auto"/>
            </w:tcBorders>
            <w:shd w:val="clear" w:color="auto" w:fill="5B9BD5" w:themeFill="accent5"/>
            <w:tcMar>
              <w:top w:w="0" w:type="dxa"/>
              <w:left w:w="108" w:type="dxa"/>
              <w:bottom w:w="0" w:type="dxa"/>
              <w:right w:w="108" w:type="dxa"/>
            </w:tcMar>
            <w:hideMark/>
          </w:tcPr>
          <w:p w14:paraId="4485851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150755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16B343B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63A39B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2C4368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C6DDE2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DF0154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4E6BE9A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CEE93D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7AB5EF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5467608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CF0093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F9E76D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D41291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07D1FFD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E4FD21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773A812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A7ACBF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73EF2E6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9D4DCD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6283A3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04ED06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A9D2F79"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B32EFB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C228F7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4E61E7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B2CC14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F00BF2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AB211A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C5B653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946E85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04D1B8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92567B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B091D1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7ACEE7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0461F0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D2145C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0080C0"/>
          </w:tcPr>
          <w:p w14:paraId="407ED542"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32" w:type="dxa"/>
            <w:tcBorders>
              <w:top w:val="nil"/>
              <w:left w:val="nil"/>
              <w:bottom w:val="single" w:sz="8" w:space="0" w:color="auto"/>
              <w:right w:val="single" w:sz="8" w:space="0" w:color="auto"/>
            </w:tcBorders>
          </w:tcPr>
          <w:p w14:paraId="5CC8296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5E8575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hideMark/>
          </w:tcPr>
          <w:p w14:paraId="3D6C5E8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1744A4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r>
      <w:tr w:rsidR="00375E4B" w:rsidRPr="001531A8" w14:paraId="3E3964EC" w14:textId="77777777" w:rsidTr="00704657">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2D24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NPDSCH</w:t>
            </w:r>
          </w:p>
        </w:tc>
        <w:tc>
          <w:tcPr>
            <w:tcW w:w="277" w:type="dxa"/>
            <w:tcBorders>
              <w:top w:val="single" w:sz="8" w:space="0" w:color="4472C4"/>
              <w:left w:val="nil"/>
              <w:bottom w:val="single" w:sz="8" w:space="0" w:color="auto"/>
              <w:right w:val="single" w:sz="8" w:space="0" w:color="auto"/>
            </w:tcBorders>
            <w:tcMar>
              <w:top w:w="0" w:type="dxa"/>
              <w:left w:w="108" w:type="dxa"/>
              <w:bottom w:w="0" w:type="dxa"/>
              <w:right w:w="108" w:type="dxa"/>
            </w:tcMar>
            <w:hideMark/>
          </w:tcPr>
          <w:p w14:paraId="2D6ABBE6"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2B73DEB"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CF58A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F8806D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07BEED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025" w:type="dxa"/>
            <w:gridSpan w:val="10"/>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4D860AD0"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104" w:type="dxa"/>
            <w:gridSpan w:val="10"/>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2A59B890"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132" w:type="dxa"/>
            <w:tcBorders>
              <w:top w:val="single" w:sz="8" w:space="0" w:color="auto"/>
              <w:left w:val="nil"/>
              <w:bottom w:val="single" w:sz="8" w:space="0" w:color="auto"/>
              <w:right w:val="single" w:sz="8" w:space="0" w:color="auto"/>
            </w:tcBorders>
          </w:tcPr>
          <w:p w14:paraId="4F0A2E79"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4A5C0B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5DEB70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C211249"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BC76CF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CAAF4C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57C411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ADAEDCC"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BE1730A"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3072EDB"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59D7ACC"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57CCC09"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FAC4CB7"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007BAFB"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39D195C"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CE2A0A8"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D3A3CBF"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r>
      <w:tr w:rsidR="00375E4B" w:rsidRPr="001531A8" w14:paraId="12941CAF" w14:textId="77777777" w:rsidTr="00704657">
        <w:tc>
          <w:tcPr>
            <w:tcW w:w="534" w:type="dxa"/>
            <w:vMerge w:val="restart"/>
            <w:tcBorders>
              <w:top w:val="nil"/>
              <w:left w:val="single" w:sz="8" w:space="0" w:color="auto"/>
              <w:right w:val="single" w:sz="8" w:space="0" w:color="auto"/>
            </w:tcBorders>
            <w:tcMar>
              <w:top w:w="0" w:type="dxa"/>
              <w:left w:w="108" w:type="dxa"/>
              <w:bottom w:w="0" w:type="dxa"/>
              <w:right w:w="108" w:type="dxa"/>
            </w:tcMar>
            <w:hideMark/>
          </w:tcPr>
          <w:p w14:paraId="3AE17D30" w14:textId="77777777" w:rsidR="00375E4B" w:rsidRDefault="00375E4B" w:rsidP="00704657">
            <w:pPr>
              <w:spacing w:after="0"/>
              <w:rPr>
                <w:rFonts w:asciiTheme="minorHAnsi" w:hAnsiTheme="minorHAnsi" w:cstheme="minorHAnsi"/>
                <w:sz w:val="12"/>
                <w:szCs w:val="12"/>
                <w:lang w:eastAsia="en-GB"/>
              </w:rPr>
            </w:pPr>
          </w:p>
          <w:p w14:paraId="778C70E7" w14:textId="77777777" w:rsidR="00375E4B" w:rsidRPr="001531A8" w:rsidRDefault="00375E4B" w:rsidP="00704657">
            <w:pPr>
              <w:spacing w:after="0"/>
              <w:rPr>
                <w:rFonts w:asciiTheme="minorHAnsi" w:hAnsiTheme="minorHAnsi" w:cstheme="minorHAnsi"/>
                <w:sz w:val="12"/>
                <w:szCs w:val="12"/>
                <w:lang w:eastAsia="en-GB"/>
              </w:rPr>
            </w:pPr>
            <w:r w:rsidRPr="001531A8">
              <w:rPr>
                <w:rFonts w:asciiTheme="minorHAnsi" w:hAnsiTheme="minorHAnsi" w:cstheme="minorHAnsi"/>
                <w:sz w:val="12"/>
                <w:szCs w:val="12"/>
                <w:lang w:eastAsia="en-GB"/>
              </w:rPr>
              <w:t>For HARQ Process #0</w:t>
            </w:r>
          </w:p>
        </w:tc>
        <w:tc>
          <w:tcPr>
            <w:tcW w:w="577" w:type="dxa"/>
            <w:tcBorders>
              <w:top w:val="nil"/>
              <w:left w:val="single" w:sz="8" w:space="0" w:color="auto"/>
              <w:bottom w:val="single" w:sz="8" w:space="0" w:color="4472C4"/>
              <w:right w:val="single" w:sz="8" w:space="0" w:color="auto"/>
            </w:tcBorders>
          </w:tcPr>
          <w:p w14:paraId="61D43F4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 Disabled, instead Y = 12</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68CA69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CE0BFB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5285BF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85C4C3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7E5037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2E77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788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17D63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82E46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80781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8CDBC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7788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848E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0DE85"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554AE"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E722C"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AEEF75"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251D85"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2BC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49DDDB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75065D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25FBC3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DC3DB3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DBE0CB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EFAE81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584" w:type="dxa"/>
            <w:gridSpan w:val="12"/>
            <w:tcBorders>
              <w:top w:val="single" w:sz="8" w:space="0" w:color="auto"/>
              <w:left w:val="nil"/>
              <w:bottom w:val="single" w:sz="8" w:space="0" w:color="auto"/>
              <w:right w:val="single" w:sz="8" w:space="0" w:color="auto"/>
            </w:tcBorders>
            <w:shd w:val="clear" w:color="auto" w:fill="FFFF00"/>
          </w:tcPr>
          <w:p w14:paraId="7AA61D35"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p w14:paraId="51BB6148"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12ms</w:t>
            </w:r>
          </w:p>
        </w:tc>
        <w:tc>
          <w:tcPr>
            <w:tcW w:w="132" w:type="dxa"/>
            <w:tcBorders>
              <w:top w:val="single" w:sz="8" w:space="0" w:color="auto"/>
              <w:left w:val="nil"/>
              <w:bottom w:val="single" w:sz="8" w:space="0" w:color="auto"/>
              <w:right w:val="single" w:sz="8" w:space="0" w:color="auto"/>
            </w:tcBorders>
            <w:shd w:val="clear" w:color="auto" w:fill="auto"/>
            <w:hideMark/>
          </w:tcPr>
          <w:p w14:paraId="1C8FD7B5"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552F858"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B0E2DA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19F9FF7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26C9462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r>
      <w:tr w:rsidR="00375E4B" w:rsidRPr="001531A8" w14:paraId="59559109" w14:textId="77777777" w:rsidTr="00704657">
        <w:tc>
          <w:tcPr>
            <w:tcW w:w="534"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571D1DFF" w14:textId="77777777" w:rsidR="00375E4B" w:rsidRPr="007E18CD" w:rsidRDefault="00375E4B"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131490DD" w14:textId="77777777" w:rsidR="00375E4B" w:rsidRPr="007E18CD" w:rsidRDefault="00375E4B"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7061DD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108" w:type="dxa"/>
            <w:gridSpan w:val="4"/>
            <w:tcBorders>
              <w:top w:val="nil"/>
              <w:left w:val="nil"/>
              <w:bottom w:val="single" w:sz="8" w:space="0" w:color="4472C4"/>
              <w:right w:val="single" w:sz="8" w:space="0" w:color="auto"/>
            </w:tcBorders>
            <w:tcMar>
              <w:top w:w="0" w:type="dxa"/>
              <w:left w:w="108" w:type="dxa"/>
              <w:bottom w:w="0" w:type="dxa"/>
              <w:right w:w="108" w:type="dxa"/>
            </w:tcMar>
          </w:tcPr>
          <w:p w14:paraId="60B48E3C"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183A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F1D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1F94B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98D36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BC6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2BF3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E8E3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1A9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E72E"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1AA27"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56DC"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8614B4"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D534F9"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5E30C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7818FC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076284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FF3006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8646C5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F9DA43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DB1C4F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7DF3D8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A477A0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320EAD6"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0DDBF21"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5FA0EFB"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51DBAA8"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08E8218"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6219BF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26A783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992325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8A1159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6C5CBE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D2BF712"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AB23013" w14:textId="77777777" w:rsidR="00375E4B" w:rsidRDefault="00375E4B"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 xml:space="preserve"> </w:t>
            </w:r>
          </w:p>
        </w:tc>
        <w:tc>
          <w:tcPr>
            <w:tcW w:w="396" w:type="dxa"/>
            <w:gridSpan w:val="3"/>
            <w:tcBorders>
              <w:top w:val="single" w:sz="8" w:space="0" w:color="auto"/>
              <w:left w:val="nil"/>
              <w:bottom w:val="single" w:sz="8" w:space="0" w:color="auto"/>
              <w:right w:val="single" w:sz="8" w:space="0" w:color="auto"/>
            </w:tcBorders>
            <w:shd w:val="clear" w:color="auto" w:fill="auto"/>
          </w:tcPr>
          <w:p w14:paraId="00EB2E22"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r>
      <w:tr w:rsidR="00375E4B" w:rsidRPr="001531A8" w14:paraId="1583A859" w14:textId="77777777" w:rsidTr="00704657">
        <w:tc>
          <w:tcPr>
            <w:tcW w:w="534"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A9F970" w14:textId="77777777" w:rsidR="00375E4B" w:rsidRDefault="00375E4B" w:rsidP="00704657">
            <w:pPr>
              <w:spacing w:after="0"/>
              <w:rPr>
                <w:rFonts w:asciiTheme="minorHAnsi" w:hAnsiTheme="minorHAnsi" w:cstheme="minorHAnsi"/>
                <w:sz w:val="12"/>
                <w:szCs w:val="12"/>
                <w:lang w:eastAsia="en-GB"/>
              </w:rPr>
            </w:pPr>
          </w:p>
          <w:p w14:paraId="0DD30399" w14:textId="77777777" w:rsidR="00375E4B" w:rsidRPr="001531A8" w:rsidRDefault="00375E4B" w:rsidP="00704657">
            <w:pPr>
              <w:spacing w:after="0"/>
              <w:rPr>
                <w:rFonts w:asciiTheme="minorHAnsi" w:hAnsiTheme="minorHAnsi" w:cstheme="minorHAnsi"/>
                <w:sz w:val="12"/>
                <w:szCs w:val="12"/>
                <w:lang w:eastAsia="en-GB"/>
              </w:rPr>
            </w:pPr>
            <w:r w:rsidRPr="001531A8">
              <w:rPr>
                <w:rFonts w:asciiTheme="minorHAnsi" w:hAnsiTheme="minorHAnsi" w:cstheme="minorHAnsi"/>
                <w:sz w:val="12"/>
                <w:szCs w:val="12"/>
                <w:lang w:eastAsia="en-GB"/>
              </w:rPr>
              <w:t>For HARQ Process #</w:t>
            </w:r>
            <w:r>
              <w:rPr>
                <w:rFonts w:asciiTheme="minorHAnsi" w:hAnsiTheme="minorHAnsi" w:cstheme="minorHAnsi"/>
                <w:sz w:val="12"/>
                <w:szCs w:val="12"/>
                <w:lang w:eastAsia="en-GB"/>
              </w:rPr>
              <w:t>1</w:t>
            </w:r>
          </w:p>
        </w:tc>
        <w:tc>
          <w:tcPr>
            <w:tcW w:w="577" w:type="dxa"/>
            <w:tcBorders>
              <w:top w:val="nil"/>
              <w:left w:val="single" w:sz="8" w:space="0" w:color="auto"/>
              <w:bottom w:val="single" w:sz="8" w:space="0" w:color="4472C4"/>
              <w:right w:val="single" w:sz="8" w:space="0" w:color="auto"/>
            </w:tcBorders>
          </w:tcPr>
          <w:p w14:paraId="733DCA1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 Enabled</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47FA9F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0A7D360"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Pr>
          <w:p w14:paraId="5164ECA1"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Pr>
          <w:p w14:paraId="27D6C5C4"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Pr>
          <w:p w14:paraId="756DAB8B"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EE4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74F51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EB2329"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0B16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92067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0F0BD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457C84"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85E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0CDB39"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42D26E"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8CB2"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154E20"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62E3B6"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C69EE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1CAB8F8"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2926CCA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085CBE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7EB4CD5"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8EF55E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0BF668B"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9CDC459" w14:textId="77777777" w:rsidR="00375E4B"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5F29339"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606EC84"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2AC52A0"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7EAB9B0"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2E26EA0"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3BADA3A"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2529E56"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6913D15"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CE1216D"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3CC216B"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92B095E"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64" w:type="dxa"/>
            <w:gridSpan w:val="2"/>
            <w:tcBorders>
              <w:top w:val="single" w:sz="8" w:space="0" w:color="auto"/>
              <w:left w:val="nil"/>
              <w:bottom w:val="single" w:sz="8" w:space="0" w:color="auto"/>
              <w:right w:val="single" w:sz="8" w:space="0" w:color="auto"/>
            </w:tcBorders>
            <w:shd w:val="clear" w:color="auto" w:fill="FFD966" w:themeFill="accent4" w:themeFillTint="99"/>
          </w:tcPr>
          <w:p w14:paraId="031352F6" w14:textId="77777777" w:rsidR="00375E4B" w:rsidRDefault="00375E4B"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2ms</w:t>
            </w:r>
          </w:p>
        </w:tc>
        <w:tc>
          <w:tcPr>
            <w:tcW w:w="132" w:type="dxa"/>
            <w:tcBorders>
              <w:top w:val="single" w:sz="8" w:space="0" w:color="auto"/>
              <w:left w:val="nil"/>
              <w:bottom w:val="single" w:sz="8" w:space="0" w:color="auto"/>
              <w:right w:val="single" w:sz="8" w:space="0" w:color="auto"/>
            </w:tcBorders>
            <w:shd w:val="clear" w:color="auto" w:fill="auto"/>
          </w:tcPr>
          <w:p w14:paraId="17626BEE" w14:textId="77777777" w:rsidR="00375E4B"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5D344A8" w14:textId="77777777" w:rsidR="00375E4B"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4FDBE8C" w14:textId="77777777" w:rsidR="00375E4B"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r>
      <w:tr w:rsidR="00375E4B" w:rsidRPr="001531A8" w14:paraId="61A28F71" w14:textId="77777777" w:rsidTr="00704657">
        <w:tc>
          <w:tcPr>
            <w:tcW w:w="534"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6DE2D9A" w14:textId="77777777" w:rsidR="00375E4B" w:rsidRPr="007E18CD" w:rsidRDefault="00375E4B"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448873E4" w14:textId="77777777" w:rsidR="00375E4B" w:rsidRPr="007E18CD" w:rsidRDefault="00375E4B"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1D2D0E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FA567B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789A97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3579" w:type="dxa"/>
            <w:gridSpan w:val="12"/>
            <w:tcBorders>
              <w:top w:val="nil"/>
              <w:left w:val="nil"/>
              <w:bottom w:val="single" w:sz="8" w:space="0" w:color="4472C4"/>
              <w:right w:val="single" w:sz="8" w:space="0" w:color="auto"/>
            </w:tcBorders>
            <w:tcMar>
              <w:top w:w="0" w:type="dxa"/>
              <w:left w:w="108" w:type="dxa"/>
              <w:bottom w:w="0" w:type="dxa"/>
              <w:right w:w="108" w:type="dxa"/>
            </w:tcMar>
          </w:tcPr>
          <w:p w14:paraId="1737BC23" w14:textId="77777777" w:rsidR="00375E4B" w:rsidRPr="001531A8" w:rsidRDefault="00375E4B" w:rsidP="00704657">
            <w:pPr>
              <w:overflowPunct/>
              <w:autoSpaceDE/>
              <w:autoSpaceDN/>
              <w:adjustRightInd/>
              <w:spacing w:after="0"/>
              <w:jc w:val="center"/>
              <w:textAlignment w:val="auto"/>
              <w:rPr>
                <w:rFonts w:asciiTheme="minorHAnsi" w:eastAsia="Times New Roman" w:hAnsiTheme="minorHAnsi" w:cstheme="minorHAnsi"/>
                <w:sz w:val="12"/>
                <w:szCs w:val="12"/>
                <w:lang w:val="sv-SE" w:eastAsia="sv-SE"/>
              </w:rPr>
            </w:pPr>
            <w:r>
              <w:rPr>
                <w:rFonts w:asciiTheme="minorHAnsi" w:eastAsia="Times New Roman" w:hAnsiTheme="minorHAnsi" w:cstheme="minorHAnsi"/>
                <w:sz w:val="12"/>
                <w:szCs w:val="12"/>
                <w:lang w:val="sv-SE" w:eastAsia="sv-SE"/>
              </w:rPr>
              <w:t>12ms</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394622"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461C4" w14:textId="77777777" w:rsidR="00375E4B" w:rsidRPr="001531A8" w:rsidRDefault="00375E4B"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6766C2" w14:textId="77777777" w:rsidR="00375E4B" w:rsidRPr="001531A8" w:rsidRDefault="00375E4B"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DF00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C4EF8D0"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CAC3873"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5FE7B6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ED1004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3045FC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9DC74FE"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9812A9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B4B8F0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CBC3919"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BE7374A"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0410F76"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AFB0C3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C0F840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A49AECD"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7C3E4A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12705DA"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1183E5C"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A1D11CF"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841097F"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215F1B4" w14:textId="77777777" w:rsidR="00375E4B" w:rsidRPr="001531A8" w:rsidRDefault="00375E4B"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EE65271"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44F5A0E7"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1E2A8E52" w14:textId="77777777" w:rsidR="00375E4B" w:rsidRPr="001531A8" w:rsidRDefault="00375E4B" w:rsidP="00704657">
            <w:pPr>
              <w:overflowPunct/>
              <w:autoSpaceDE/>
              <w:autoSpaceDN/>
              <w:adjustRightInd/>
              <w:spacing w:after="0"/>
              <w:textAlignment w:val="auto"/>
              <w:rPr>
                <w:rFonts w:asciiTheme="minorHAnsi" w:hAnsiTheme="minorHAnsi" w:cstheme="minorHAnsi"/>
                <w:sz w:val="12"/>
                <w:szCs w:val="12"/>
                <w:lang w:eastAsia="en-GB"/>
              </w:rPr>
            </w:pPr>
          </w:p>
        </w:tc>
      </w:tr>
    </w:tbl>
    <w:p w14:paraId="3465CFF9" w14:textId="77777777" w:rsidR="00375E4B" w:rsidRDefault="00375E4B" w:rsidP="00375E4B"/>
    <w:p w14:paraId="40E848D7" w14:textId="2D6B0C97" w:rsidR="00375E4B" w:rsidRDefault="00375E4B" w:rsidP="00375E4B">
      <w:pPr>
        <w:jc w:val="both"/>
      </w:pPr>
      <w:r>
        <w:t>The diagram above shows that if “</w:t>
      </w:r>
      <w:r w:rsidRPr="00795DED">
        <w:t>HARQ feedback is disabled for the 1</w:t>
      </w:r>
      <w:r w:rsidRPr="00414A1B">
        <w:rPr>
          <w:vertAlign w:val="superscript"/>
        </w:rPr>
        <w:t>st</w:t>
      </w:r>
      <w:r w:rsidRPr="00795DED">
        <w:t xml:space="preserve"> HARQ processes and enabled for the 2</w:t>
      </w:r>
      <w:r w:rsidRPr="00414A1B">
        <w:rPr>
          <w:vertAlign w:val="superscript"/>
        </w:rPr>
        <w:t>nd</w:t>
      </w:r>
      <w:r w:rsidRPr="00795DED">
        <w:t xml:space="preserve"> HARQ processes</w:t>
      </w:r>
      <w:r>
        <w:t>”, there is a problem since 12ms “</w:t>
      </w:r>
      <w:r w:rsidRPr="00632C88">
        <w:rPr>
          <w:sz w:val="16"/>
          <w:szCs w:val="16"/>
          <w:lang w:val="en-US" w:eastAsia="x-none"/>
        </w:rPr>
        <w:t xml:space="preserve">from the end of reception of the last </w:t>
      </w:r>
      <w:r>
        <w:rPr>
          <w:sz w:val="16"/>
          <w:szCs w:val="16"/>
          <w:lang w:val="en-US" w:eastAsia="x-none"/>
        </w:rPr>
        <w:t>N</w:t>
      </w:r>
      <w:r w:rsidRPr="00632C88">
        <w:rPr>
          <w:sz w:val="16"/>
          <w:szCs w:val="16"/>
          <w:lang w:val="en-US" w:eastAsia="x-none"/>
        </w:rPr>
        <w:t>PDSCH</w:t>
      </w:r>
      <w:r>
        <w:t xml:space="preserve">” at subframe# 37, HARQ process #0 is meant to receive the subsequent NPDCCH whereas HARQ process#1 is meant to transmit </w:t>
      </w:r>
      <w:r w:rsidR="00000A8F">
        <w:t>NPUSCH Format 2</w:t>
      </w:r>
      <w:r>
        <w:t>, so there is a</w:t>
      </w:r>
      <w:r w:rsidR="00000A8F">
        <w:t>n</w:t>
      </w:r>
      <w:r>
        <w:t xml:space="preserve"> Rx/Tx conflict at the subframe after 12ms “</w:t>
      </w:r>
      <w:r w:rsidRPr="00632C88">
        <w:rPr>
          <w:sz w:val="16"/>
          <w:szCs w:val="16"/>
          <w:lang w:val="en-US" w:eastAsia="x-none"/>
        </w:rPr>
        <w:t xml:space="preserve">from the end of reception of the last </w:t>
      </w:r>
      <w:r>
        <w:rPr>
          <w:sz w:val="16"/>
          <w:szCs w:val="16"/>
          <w:lang w:val="en-US" w:eastAsia="x-none"/>
        </w:rPr>
        <w:t>N</w:t>
      </w:r>
      <w:r w:rsidRPr="00632C88">
        <w:rPr>
          <w:sz w:val="16"/>
          <w:szCs w:val="16"/>
          <w:lang w:val="en-US" w:eastAsia="x-none"/>
        </w:rPr>
        <w:t>PDSCH</w:t>
      </w:r>
      <w:r>
        <w:t>”.</w:t>
      </w:r>
    </w:p>
    <w:p w14:paraId="6315FF3C" w14:textId="2038A815" w:rsidR="003B154E" w:rsidRDefault="003B154E" w:rsidP="003B154E">
      <w:pPr>
        <w:pStyle w:val="Heading3"/>
      </w:pPr>
      <w:r>
        <w:t>4.1.</w:t>
      </w:r>
      <w:r w:rsidR="00375E4B">
        <w:t>2</w:t>
      </w:r>
      <w:r>
        <w:tab/>
        <w:t>“HARQ feedback” is enabled for the 1</w:t>
      </w:r>
      <w:r w:rsidRPr="003B154E">
        <w:rPr>
          <w:vertAlign w:val="superscript"/>
        </w:rPr>
        <w:t>st</w:t>
      </w:r>
      <w:r>
        <w:t xml:space="preserve"> HARQ processes and disabled for the 2</w:t>
      </w:r>
      <w:r w:rsidRPr="003B154E">
        <w:rPr>
          <w:vertAlign w:val="superscript"/>
        </w:rPr>
        <w:t>nd</w:t>
      </w:r>
      <w:r>
        <w:t xml:space="preserve"> HARQ processes</w:t>
      </w:r>
    </w:p>
    <w:p w14:paraId="3F363E6C" w14:textId="3EBCFB93" w:rsidR="00191801" w:rsidRDefault="00375E4B" w:rsidP="000C0E57">
      <w:pPr>
        <w:overflowPunct/>
        <w:autoSpaceDE/>
        <w:autoSpaceDN/>
        <w:adjustRightInd/>
        <w:spacing w:after="0"/>
        <w:jc w:val="both"/>
        <w:textAlignment w:val="auto"/>
      </w:pPr>
      <w:r>
        <w:t xml:space="preserve">In this section </w:t>
      </w:r>
      <w:r w:rsidR="00191801">
        <w:t xml:space="preserve">we analyse the case where the </w:t>
      </w:r>
      <w:r w:rsidR="00191801" w:rsidRPr="00191801">
        <w:t>“HARQ feedback” is enabled for the 1</w:t>
      </w:r>
      <w:r w:rsidR="00191801" w:rsidRPr="000C0E57">
        <w:rPr>
          <w:vertAlign w:val="superscript"/>
        </w:rPr>
        <w:t>st</w:t>
      </w:r>
      <w:r w:rsidR="00191801" w:rsidRPr="00191801">
        <w:t xml:space="preserve"> HARQ processes and disabled for the 2</w:t>
      </w:r>
      <w:r w:rsidR="00191801" w:rsidRPr="000C0E57">
        <w:rPr>
          <w:vertAlign w:val="superscript"/>
        </w:rPr>
        <w:t>nd</w:t>
      </w:r>
      <w:r w:rsidR="00191801" w:rsidRPr="00191801">
        <w:t xml:space="preserve"> HARQ processes</w:t>
      </w:r>
      <w:r w:rsidR="00191801">
        <w:t>.</w:t>
      </w:r>
    </w:p>
    <w:p w14:paraId="269DB542" w14:textId="77777777" w:rsidR="000C0E57" w:rsidRPr="000C0E57" w:rsidRDefault="000C0E57" w:rsidP="000C0E57">
      <w:pPr>
        <w:overflowPunct/>
        <w:autoSpaceDE/>
        <w:autoSpaceDN/>
        <w:adjustRightInd/>
        <w:spacing w:after="0"/>
        <w:jc w:val="both"/>
        <w:textAlignment w:val="auto"/>
        <w:rPr>
          <w:sz w:val="16"/>
          <w:szCs w:val="16"/>
          <w:lang w:val="en-US" w:eastAsia="x-none"/>
        </w:rPr>
      </w:pPr>
    </w:p>
    <w:p w14:paraId="1F058D47" w14:textId="4272DE9B" w:rsidR="00191801" w:rsidRPr="00A87D48" w:rsidRDefault="00F86B15" w:rsidP="00F86B15">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sidR="001215FE">
        <w:rPr>
          <w:rFonts w:ascii="Times New Roman" w:hAnsi="Times New Roman"/>
          <w:sz w:val="16"/>
          <w:szCs w:val="16"/>
          <w:lang w:eastAsia="ja-JP"/>
        </w:rPr>
        <w:t>5</w:t>
      </w:r>
      <w:r w:rsidR="005D0BD2">
        <w:rPr>
          <w:rFonts w:ascii="Times New Roman" w:hAnsi="Times New Roman"/>
          <w:sz w:val="16"/>
          <w:szCs w:val="16"/>
          <w:lang w:eastAsia="ja-JP"/>
        </w:rPr>
        <w:t>B</w:t>
      </w:r>
      <w:r w:rsidRPr="00A87D48">
        <w:rPr>
          <w:rFonts w:ascii="Times New Roman" w:hAnsi="Times New Roman"/>
          <w:sz w:val="16"/>
          <w:szCs w:val="16"/>
          <w:lang w:eastAsia="ja-JP"/>
        </w:rPr>
        <w:t xml:space="preserve">: </w:t>
      </w:r>
      <w:r>
        <w:rPr>
          <w:rFonts w:ascii="Times New Roman" w:hAnsi="Times New Roman"/>
          <w:sz w:val="16"/>
          <w:szCs w:val="16"/>
          <w:lang w:eastAsia="ja-JP"/>
        </w:rPr>
        <w:t>Option 2,</w:t>
      </w:r>
      <w:r w:rsidRPr="006A54A2">
        <w:rPr>
          <w:rFonts w:ascii="Times New Roman" w:hAnsi="Times New Roman"/>
          <w:sz w:val="16"/>
          <w:szCs w:val="16"/>
          <w:lang w:eastAsia="ja-JP"/>
        </w:rPr>
        <w:t xml:space="preserve"> </w:t>
      </w:r>
      <w:r>
        <w:rPr>
          <w:rFonts w:ascii="Times New Roman" w:hAnsi="Times New Roman"/>
          <w:sz w:val="16"/>
          <w:szCs w:val="16"/>
          <w:lang w:eastAsia="ja-JP"/>
        </w:rPr>
        <w:t>Two</w:t>
      </w:r>
      <w:r w:rsidRPr="006A54A2">
        <w:rPr>
          <w:rFonts w:ascii="Times New Roman" w:hAnsi="Times New Roman"/>
          <w:sz w:val="16"/>
          <w:szCs w:val="16"/>
          <w:lang w:eastAsia="ja-JP"/>
        </w:rPr>
        <w:t xml:space="preserve"> HARQ</w:t>
      </w:r>
      <w:r>
        <w:rPr>
          <w:rFonts w:ascii="Times New Roman" w:hAnsi="Times New Roman"/>
          <w:sz w:val="16"/>
          <w:szCs w:val="16"/>
          <w:lang w:eastAsia="ja-JP"/>
        </w:rPr>
        <w:t xml:space="preserve"> processes</w:t>
      </w:r>
      <w:r w:rsidRPr="006A54A2">
        <w:rPr>
          <w:rFonts w:ascii="Times New Roman" w:hAnsi="Times New Roman"/>
          <w:sz w:val="16"/>
          <w:szCs w:val="16"/>
          <w:lang w:eastAsia="ja-JP"/>
        </w:rPr>
        <w:t xml:space="preserve"> </w:t>
      </w:r>
      <w:r>
        <w:rPr>
          <w:rFonts w:ascii="Times New Roman" w:hAnsi="Times New Roman"/>
          <w:sz w:val="16"/>
          <w:szCs w:val="16"/>
          <w:lang w:eastAsia="ja-JP"/>
        </w:rPr>
        <w:t xml:space="preserve">where </w:t>
      </w:r>
      <w:r w:rsidRPr="00F86B15">
        <w:rPr>
          <w:rFonts w:ascii="Times New Roman" w:hAnsi="Times New Roman"/>
          <w:sz w:val="16"/>
          <w:szCs w:val="16"/>
          <w:lang w:eastAsia="ja-JP"/>
        </w:rPr>
        <w:t xml:space="preserve">“HARQ feedback” is </w:t>
      </w:r>
      <w:r>
        <w:rPr>
          <w:rFonts w:ascii="Times New Roman" w:hAnsi="Times New Roman"/>
          <w:sz w:val="16"/>
          <w:szCs w:val="16"/>
          <w:lang w:eastAsia="ja-JP"/>
        </w:rPr>
        <w:t>en</w:t>
      </w:r>
      <w:r w:rsidRPr="00F86B15">
        <w:rPr>
          <w:rFonts w:ascii="Times New Roman" w:hAnsi="Times New Roman"/>
          <w:sz w:val="16"/>
          <w:szCs w:val="16"/>
          <w:lang w:eastAsia="ja-JP"/>
        </w:rPr>
        <w:t>abled for the 1</w:t>
      </w:r>
      <w:r w:rsidRPr="00F86B15">
        <w:rPr>
          <w:rFonts w:ascii="Times New Roman" w:hAnsi="Times New Roman"/>
          <w:sz w:val="16"/>
          <w:szCs w:val="16"/>
          <w:vertAlign w:val="superscript"/>
          <w:lang w:eastAsia="ja-JP"/>
        </w:rPr>
        <w:t>st</w:t>
      </w:r>
      <w:r w:rsidRPr="00F86B15">
        <w:rPr>
          <w:rFonts w:ascii="Times New Roman" w:hAnsi="Times New Roman"/>
          <w:sz w:val="16"/>
          <w:szCs w:val="16"/>
          <w:lang w:eastAsia="ja-JP"/>
        </w:rPr>
        <w:t xml:space="preserve"> HARQ processes and </w:t>
      </w:r>
      <w:r>
        <w:rPr>
          <w:rFonts w:ascii="Times New Roman" w:hAnsi="Times New Roman"/>
          <w:sz w:val="16"/>
          <w:szCs w:val="16"/>
          <w:lang w:eastAsia="ja-JP"/>
        </w:rPr>
        <w:t>dis</w:t>
      </w:r>
      <w:r w:rsidRPr="00F86B15">
        <w:rPr>
          <w:rFonts w:ascii="Times New Roman" w:hAnsi="Times New Roman"/>
          <w:sz w:val="16"/>
          <w:szCs w:val="16"/>
          <w:lang w:eastAsia="ja-JP"/>
        </w:rPr>
        <w:t>abled for the 2</w:t>
      </w:r>
      <w:r w:rsidRPr="00F86B15">
        <w:rPr>
          <w:rFonts w:ascii="Times New Roman" w:hAnsi="Times New Roman"/>
          <w:sz w:val="16"/>
          <w:szCs w:val="16"/>
          <w:vertAlign w:val="superscript"/>
          <w:lang w:eastAsia="ja-JP"/>
        </w:rPr>
        <w:t>nd</w:t>
      </w:r>
      <w:r w:rsidRPr="00F86B15">
        <w:rPr>
          <w:rFonts w:ascii="Times New Roman" w:hAnsi="Times New Roman"/>
          <w:sz w:val="16"/>
          <w:szCs w:val="16"/>
          <w:lang w:eastAsia="ja-JP"/>
        </w:rPr>
        <w:t xml:space="preserve"> HARQ processes</w:t>
      </w:r>
    </w:p>
    <w:tbl>
      <w:tblPr>
        <w:tblW w:w="9869" w:type="dxa"/>
        <w:tblInd w:w="-118" w:type="dxa"/>
        <w:tblLayout w:type="fixed"/>
        <w:tblCellMar>
          <w:left w:w="0" w:type="dxa"/>
          <w:right w:w="0" w:type="dxa"/>
        </w:tblCellMar>
        <w:tblLook w:val="04A0" w:firstRow="1" w:lastRow="0" w:firstColumn="1" w:lastColumn="0" w:noHBand="0" w:noVBand="1"/>
      </w:tblPr>
      <w:tblGrid>
        <w:gridCol w:w="534"/>
        <w:gridCol w:w="577"/>
        <w:gridCol w:w="277"/>
        <w:gridCol w:w="277"/>
        <w:gridCol w:w="277"/>
        <w:gridCol w:w="277"/>
        <w:gridCol w:w="277"/>
        <w:gridCol w:w="277"/>
        <w:gridCol w:w="277"/>
        <w:gridCol w:w="277"/>
        <w:gridCol w:w="277"/>
        <w:gridCol w:w="277"/>
        <w:gridCol w:w="328"/>
        <w:gridCol w:w="328"/>
        <w:gridCol w:w="328"/>
        <w:gridCol w:w="328"/>
        <w:gridCol w:w="328"/>
        <w:gridCol w:w="328"/>
        <w:gridCol w:w="328"/>
        <w:gridCol w:w="328"/>
        <w:gridCol w:w="328"/>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gridCol w:w="132"/>
      </w:tblGrid>
      <w:tr w:rsidR="00C043D2" w:rsidRPr="001531A8" w14:paraId="26847E43" w14:textId="77777777" w:rsidTr="002E59EA">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D82A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Earliest DL Reception of the subsequent HARQ Process as per “Option 2”</w:t>
            </w:r>
          </w:p>
        </w:tc>
        <w:tc>
          <w:tcPr>
            <w:tcW w:w="277" w:type="dxa"/>
            <w:tcBorders>
              <w:top w:val="single" w:sz="8" w:space="0" w:color="auto"/>
              <w:left w:val="nil"/>
              <w:right w:val="single" w:sz="8" w:space="0" w:color="auto"/>
            </w:tcBorders>
            <w:tcMar>
              <w:top w:w="0" w:type="dxa"/>
              <w:left w:w="108" w:type="dxa"/>
              <w:bottom w:w="0" w:type="dxa"/>
              <w:right w:w="108" w:type="dxa"/>
            </w:tcMar>
          </w:tcPr>
          <w:p w14:paraId="0579DD4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2B48B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91260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C2E4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78CC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201F8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66869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451A3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0B193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D2B15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EA1B1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1E1BF1"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22DD8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99F40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33F59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20A3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2E775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A5D1A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6997BD"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FEF08F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039089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70B365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43064E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F9B958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1EC380C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D30495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07AF39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7DF9EEE"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78E0D75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4B21E5D"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043B61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0AC93A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57AA241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5379B2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31486A0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4219861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6839BC2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FF0000"/>
          </w:tcPr>
          <w:p w14:paraId="09F40CEC"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72A06AA9"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0F28C6B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32" w:type="dxa"/>
            <w:tcBorders>
              <w:top w:val="single" w:sz="8" w:space="0" w:color="auto"/>
              <w:left w:val="nil"/>
              <w:bottom w:val="single" w:sz="8" w:space="0" w:color="auto"/>
              <w:right w:val="single" w:sz="8" w:space="0" w:color="auto"/>
            </w:tcBorders>
          </w:tcPr>
          <w:p w14:paraId="2A5B19FE"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400E6C4"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31A1973D" w14:textId="77777777" w:rsidR="00C043D2" w:rsidRDefault="00C043D2" w:rsidP="00704657">
            <w:pPr>
              <w:overflowPunct/>
              <w:autoSpaceDE/>
              <w:autoSpaceDN/>
              <w:adjustRightInd/>
              <w:spacing w:after="0"/>
              <w:textAlignment w:val="auto"/>
              <w:rPr>
                <w:rFonts w:asciiTheme="minorHAnsi" w:hAnsiTheme="minorHAnsi" w:cstheme="minorHAnsi"/>
                <w:sz w:val="11"/>
                <w:szCs w:val="11"/>
                <w:lang w:eastAsia="en-GB"/>
              </w:rPr>
            </w:pPr>
          </w:p>
          <w:p w14:paraId="1F33D52E" w14:textId="0736D4A3"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22860D4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c>
          <w:tcPr>
            <w:tcW w:w="132" w:type="dxa"/>
            <w:tcBorders>
              <w:top w:val="single" w:sz="8" w:space="0" w:color="auto"/>
              <w:left w:val="nil"/>
              <w:bottom w:val="single" w:sz="8" w:space="0" w:color="auto"/>
              <w:right w:val="single" w:sz="8" w:space="0" w:color="auto"/>
            </w:tcBorders>
          </w:tcPr>
          <w:p w14:paraId="0BB7D574"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p>
        </w:tc>
      </w:tr>
      <w:tr w:rsidR="00C043D2" w:rsidRPr="001531A8" w14:paraId="0C3DA3CF" w14:textId="77777777" w:rsidTr="00EF257D">
        <w:tc>
          <w:tcPr>
            <w:tcW w:w="11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EC8FE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val="sv-SE" w:eastAsia="en-GB"/>
              </w:rPr>
            </w:pPr>
            <w:r w:rsidRPr="001531A8">
              <w:rPr>
                <w:rFonts w:asciiTheme="minorHAnsi" w:hAnsiTheme="minorHAnsi" w:cstheme="minorHAnsi"/>
                <w:sz w:val="12"/>
                <w:szCs w:val="12"/>
                <w:lang w:eastAsia="en-GB"/>
              </w:rPr>
              <w:t>Subrame#</w:t>
            </w:r>
          </w:p>
        </w:tc>
        <w:tc>
          <w:tcPr>
            <w:tcW w:w="277" w:type="dxa"/>
            <w:tcBorders>
              <w:top w:val="single" w:sz="8" w:space="0" w:color="auto"/>
              <w:left w:val="nil"/>
              <w:right w:val="single" w:sz="8" w:space="0" w:color="auto"/>
            </w:tcBorders>
            <w:tcMar>
              <w:top w:w="0" w:type="dxa"/>
              <w:left w:w="108" w:type="dxa"/>
              <w:bottom w:w="0" w:type="dxa"/>
              <w:right w:w="108" w:type="dxa"/>
            </w:tcMar>
            <w:hideMark/>
          </w:tcPr>
          <w:p w14:paraId="655885C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0F15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88753"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C75B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D8D6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7908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03D2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7885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5624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7B88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9</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FB7A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10</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4CDD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11</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A8B07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12</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630B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13</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725B5"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14</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E731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15</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0EC4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16</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533D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17</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3777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18</w:t>
            </w:r>
          </w:p>
        </w:tc>
        <w:tc>
          <w:tcPr>
            <w:tcW w:w="132" w:type="dxa"/>
            <w:tcBorders>
              <w:top w:val="single" w:sz="8" w:space="0" w:color="auto"/>
              <w:left w:val="nil"/>
              <w:bottom w:val="single" w:sz="8" w:space="0" w:color="auto"/>
              <w:right w:val="single" w:sz="8" w:space="0" w:color="auto"/>
            </w:tcBorders>
            <w:hideMark/>
          </w:tcPr>
          <w:p w14:paraId="6C2B8D9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19</w:t>
            </w:r>
          </w:p>
        </w:tc>
        <w:tc>
          <w:tcPr>
            <w:tcW w:w="132" w:type="dxa"/>
            <w:tcBorders>
              <w:top w:val="single" w:sz="8" w:space="0" w:color="auto"/>
              <w:left w:val="nil"/>
              <w:bottom w:val="single" w:sz="8" w:space="0" w:color="auto"/>
              <w:right w:val="single" w:sz="8" w:space="0" w:color="auto"/>
            </w:tcBorders>
            <w:hideMark/>
          </w:tcPr>
          <w:p w14:paraId="5DE2AC1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20</w:t>
            </w:r>
          </w:p>
        </w:tc>
        <w:tc>
          <w:tcPr>
            <w:tcW w:w="132" w:type="dxa"/>
            <w:tcBorders>
              <w:top w:val="single" w:sz="8" w:space="0" w:color="auto"/>
              <w:left w:val="nil"/>
              <w:bottom w:val="single" w:sz="8" w:space="0" w:color="auto"/>
              <w:right w:val="single" w:sz="8" w:space="0" w:color="auto"/>
            </w:tcBorders>
            <w:hideMark/>
          </w:tcPr>
          <w:p w14:paraId="5BF10C61"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21</w:t>
            </w:r>
          </w:p>
        </w:tc>
        <w:tc>
          <w:tcPr>
            <w:tcW w:w="132" w:type="dxa"/>
            <w:tcBorders>
              <w:top w:val="single" w:sz="8" w:space="0" w:color="auto"/>
              <w:left w:val="nil"/>
              <w:bottom w:val="single" w:sz="8" w:space="0" w:color="auto"/>
              <w:right w:val="single" w:sz="8" w:space="0" w:color="auto"/>
            </w:tcBorders>
            <w:hideMark/>
          </w:tcPr>
          <w:p w14:paraId="4974C226"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22</w:t>
            </w:r>
          </w:p>
        </w:tc>
        <w:tc>
          <w:tcPr>
            <w:tcW w:w="132" w:type="dxa"/>
            <w:tcBorders>
              <w:top w:val="single" w:sz="8" w:space="0" w:color="auto"/>
              <w:left w:val="nil"/>
              <w:bottom w:val="single" w:sz="8" w:space="0" w:color="auto"/>
              <w:right w:val="single" w:sz="8" w:space="0" w:color="auto"/>
            </w:tcBorders>
            <w:hideMark/>
          </w:tcPr>
          <w:p w14:paraId="1F490EA3"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23</w:t>
            </w:r>
          </w:p>
        </w:tc>
        <w:tc>
          <w:tcPr>
            <w:tcW w:w="132" w:type="dxa"/>
            <w:tcBorders>
              <w:top w:val="single" w:sz="8" w:space="0" w:color="auto"/>
              <w:left w:val="nil"/>
              <w:bottom w:val="single" w:sz="8" w:space="0" w:color="auto"/>
              <w:right w:val="single" w:sz="8" w:space="0" w:color="auto"/>
            </w:tcBorders>
            <w:hideMark/>
          </w:tcPr>
          <w:p w14:paraId="50C34D18"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24</w:t>
            </w:r>
          </w:p>
        </w:tc>
        <w:tc>
          <w:tcPr>
            <w:tcW w:w="132" w:type="dxa"/>
            <w:tcBorders>
              <w:top w:val="single" w:sz="8" w:space="0" w:color="auto"/>
              <w:left w:val="nil"/>
              <w:bottom w:val="single" w:sz="8" w:space="0" w:color="auto"/>
              <w:right w:val="single" w:sz="8" w:space="0" w:color="auto"/>
            </w:tcBorders>
            <w:hideMark/>
          </w:tcPr>
          <w:p w14:paraId="6F716F4D"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25</w:t>
            </w:r>
          </w:p>
        </w:tc>
        <w:tc>
          <w:tcPr>
            <w:tcW w:w="132" w:type="dxa"/>
            <w:tcBorders>
              <w:top w:val="single" w:sz="8" w:space="0" w:color="auto"/>
              <w:left w:val="nil"/>
              <w:bottom w:val="single" w:sz="8" w:space="0" w:color="auto"/>
              <w:right w:val="single" w:sz="8" w:space="0" w:color="auto"/>
            </w:tcBorders>
            <w:hideMark/>
          </w:tcPr>
          <w:p w14:paraId="6DC7D82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26</w:t>
            </w:r>
          </w:p>
        </w:tc>
        <w:tc>
          <w:tcPr>
            <w:tcW w:w="132" w:type="dxa"/>
            <w:tcBorders>
              <w:top w:val="single" w:sz="8" w:space="0" w:color="auto"/>
              <w:left w:val="nil"/>
              <w:bottom w:val="single" w:sz="8" w:space="0" w:color="auto"/>
              <w:right w:val="single" w:sz="8" w:space="0" w:color="auto"/>
            </w:tcBorders>
            <w:hideMark/>
          </w:tcPr>
          <w:p w14:paraId="26BC41B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27</w:t>
            </w:r>
          </w:p>
        </w:tc>
        <w:tc>
          <w:tcPr>
            <w:tcW w:w="132" w:type="dxa"/>
            <w:tcBorders>
              <w:top w:val="single" w:sz="8" w:space="0" w:color="auto"/>
              <w:left w:val="nil"/>
              <w:bottom w:val="single" w:sz="8" w:space="0" w:color="auto"/>
              <w:right w:val="single" w:sz="8" w:space="0" w:color="auto"/>
            </w:tcBorders>
            <w:hideMark/>
          </w:tcPr>
          <w:p w14:paraId="1F30B79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28</w:t>
            </w:r>
          </w:p>
        </w:tc>
        <w:tc>
          <w:tcPr>
            <w:tcW w:w="132" w:type="dxa"/>
            <w:tcBorders>
              <w:top w:val="single" w:sz="8" w:space="0" w:color="auto"/>
              <w:left w:val="nil"/>
              <w:bottom w:val="single" w:sz="8" w:space="0" w:color="auto"/>
              <w:right w:val="single" w:sz="8" w:space="0" w:color="auto"/>
            </w:tcBorders>
            <w:hideMark/>
          </w:tcPr>
          <w:p w14:paraId="2B0097C4"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29</w:t>
            </w:r>
          </w:p>
        </w:tc>
        <w:tc>
          <w:tcPr>
            <w:tcW w:w="132" w:type="dxa"/>
            <w:tcBorders>
              <w:top w:val="single" w:sz="8" w:space="0" w:color="auto"/>
              <w:left w:val="nil"/>
              <w:bottom w:val="single" w:sz="8" w:space="0" w:color="auto"/>
              <w:right w:val="single" w:sz="8" w:space="0" w:color="auto"/>
            </w:tcBorders>
            <w:hideMark/>
          </w:tcPr>
          <w:p w14:paraId="50CB079A"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30</w:t>
            </w:r>
          </w:p>
        </w:tc>
        <w:tc>
          <w:tcPr>
            <w:tcW w:w="132" w:type="dxa"/>
            <w:tcBorders>
              <w:top w:val="single" w:sz="8" w:space="0" w:color="auto"/>
              <w:left w:val="nil"/>
              <w:bottom w:val="single" w:sz="8" w:space="0" w:color="auto"/>
              <w:right w:val="single" w:sz="8" w:space="0" w:color="auto"/>
            </w:tcBorders>
            <w:hideMark/>
          </w:tcPr>
          <w:p w14:paraId="17EF9124"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31</w:t>
            </w:r>
          </w:p>
        </w:tc>
        <w:tc>
          <w:tcPr>
            <w:tcW w:w="132" w:type="dxa"/>
            <w:tcBorders>
              <w:top w:val="single" w:sz="8" w:space="0" w:color="auto"/>
              <w:left w:val="nil"/>
              <w:bottom w:val="single" w:sz="8" w:space="0" w:color="auto"/>
              <w:right w:val="single" w:sz="8" w:space="0" w:color="auto"/>
            </w:tcBorders>
            <w:hideMark/>
          </w:tcPr>
          <w:p w14:paraId="5C9FBEA9"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32</w:t>
            </w:r>
          </w:p>
        </w:tc>
        <w:tc>
          <w:tcPr>
            <w:tcW w:w="132" w:type="dxa"/>
            <w:tcBorders>
              <w:top w:val="single" w:sz="8" w:space="0" w:color="auto"/>
              <w:left w:val="nil"/>
              <w:bottom w:val="single" w:sz="8" w:space="0" w:color="auto"/>
              <w:right w:val="single" w:sz="8" w:space="0" w:color="auto"/>
            </w:tcBorders>
            <w:hideMark/>
          </w:tcPr>
          <w:p w14:paraId="7762362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33</w:t>
            </w:r>
          </w:p>
        </w:tc>
        <w:tc>
          <w:tcPr>
            <w:tcW w:w="132" w:type="dxa"/>
            <w:tcBorders>
              <w:top w:val="single" w:sz="8" w:space="0" w:color="auto"/>
              <w:left w:val="nil"/>
              <w:bottom w:val="single" w:sz="8" w:space="0" w:color="auto"/>
              <w:right w:val="single" w:sz="8" w:space="0" w:color="auto"/>
            </w:tcBorders>
            <w:hideMark/>
          </w:tcPr>
          <w:p w14:paraId="0DC4716E"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34</w:t>
            </w:r>
          </w:p>
        </w:tc>
        <w:tc>
          <w:tcPr>
            <w:tcW w:w="132" w:type="dxa"/>
            <w:tcBorders>
              <w:top w:val="single" w:sz="8" w:space="0" w:color="auto"/>
              <w:left w:val="nil"/>
              <w:bottom w:val="single" w:sz="8" w:space="0" w:color="auto"/>
              <w:right w:val="single" w:sz="8" w:space="0" w:color="auto"/>
            </w:tcBorders>
            <w:hideMark/>
          </w:tcPr>
          <w:p w14:paraId="444034CB"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35</w:t>
            </w:r>
          </w:p>
        </w:tc>
        <w:tc>
          <w:tcPr>
            <w:tcW w:w="132" w:type="dxa"/>
            <w:tcBorders>
              <w:top w:val="single" w:sz="8" w:space="0" w:color="auto"/>
              <w:left w:val="nil"/>
              <w:bottom w:val="single" w:sz="8" w:space="0" w:color="auto"/>
              <w:right w:val="single" w:sz="8" w:space="0" w:color="auto"/>
            </w:tcBorders>
            <w:hideMark/>
          </w:tcPr>
          <w:p w14:paraId="6E36338C"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36</w:t>
            </w:r>
          </w:p>
        </w:tc>
        <w:tc>
          <w:tcPr>
            <w:tcW w:w="132" w:type="dxa"/>
            <w:tcBorders>
              <w:top w:val="single" w:sz="8" w:space="0" w:color="auto"/>
              <w:left w:val="nil"/>
              <w:bottom w:val="single" w:sz="8" w:space="0" w:color="auto"/>
              <w:right w:val="single" w:sz="8" w:space="0" w:color="auto"/>
            </w:tcBorders>
            <w:hideMark/>
          </w:tcPr>
          <w:p w14:paraId="30647FF7"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37</w:t>
            </w:r>
          </w:p>
        </w:tc>
        <w:tc>
          <w:tcPr>
            <w:tcW w:w="132" w:type="dxa"/>
            <w:tcBorders>
              <w:top w:val="single" w:sz="8" w:space="0" w:color="auto"/>
              <w:left w:val="nil"/>
              <w:bottom w:val="single" w:sz="8" w:space="0" w:color="auto"/>
              <w:right w:val="single" w:sz="8" w:space="0" w:color="auto"/>
            </w:tcBorders>
            <w:hideMark/>
          </w:tcPr>
          <w:p w14:paraId="1A8DF52F"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38</w:t>
            </w:r>
          </w:p>
        </w:tc>
        <w:tc>
          <w:tcPr>
            <w:tcW w:w="132" w:type="dxa"/>
            <w:tcBorders>
              <w:top w:val="single" w:sz="8" w:space="0" w:color="auto"/>
              <w:left w:val="nil"/>
              <w:bottom w:val="single" w:sz="8" w:space="0" w:color="auto"/>
              <w:right w:val="single" w:sz="8" w:space="0" w:color="auto"/>
            </w:tcBorders>
            <w:hideMark/>
          </w:tcPr>
          <w:p w14:paraId="5303C65E"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39</w:t>
            </w:r>
          </w:p>
        </w:tc>
        <w:tc>
          <w:tcPr>
            <w:tcW w:w="132" w:type="dxa"/>
            <w:tcBorders>
              <w:top w:val="single" w:sz="8" w:space="0" w:color="auto"/>
              <w:left w:val="nil"/>
              <w:bottom w:val="single" w:sz="8" w:space="0" w:color="auto"/>
              <w:right w:val="single" w:sz="8" w:space="0" w:color="auto"/>
            </w:tcBorders>
            <w:hideMark/>
          </w:tcPr>
          <w:p w14:paraId="52DDEA20"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40</w:t>
            </w:r>
          </w:p>
        </w:tc>
        <w:tc>
          <w:tcPr>
            <w:tcW w:w="132" w:type="dxa"/>
            <w:tcBorders>
              <w:top w:val="single" w:sz="8" w:space="0" w:color="auto"/>
              <w:left w:val="nil"/>
              <w:bottom w:val="single" w:sz="8" w:space="0" w:color="auto"/>
              <w:right w:val="single" w:sz="8" w:space="0" w:color="auto"/>
            </w:tcBorders>
          </w:tcPr>
          <w:p w14:paraId="266BAFA2" w14:textId="77777777" w:rsidR="00C043D2" w:rsidRPr="001531A8" w:rsidRDefault="00C043D2" w:rsidP="00704657">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r>
      <w:tr w:rsidR="00C043D2" w:rsidRPr="001531A8" w14:paraId="68171C44" w14:textId="77777777" w:rsidTr="00EF257D">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1FA6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NPDCCH</w:t>
            </w:r>
          </w:p>
        </w:tc>
        <w:tc>
          <w:tcPr>
            <w:tcW w:w="277" w:type="dxa"/>
            <w:tcBorders>
              <w:top w:val="nil"/>
              <w:left w:val="nil"/>
              <w:bottom w:val="single" w:sz="8" w:space="0" w:color="4472C4"/>
              <w:right w:val="single" w:sz="8" w:space="0" w:color="auto"/>
            </w:tcBorders>
            <w:shd w:val="clear" w:color="auto" w:fill="5B9BD5" w:themeFill="accent5"/>
            <w:tcMar>
              <w:top w:w="0" w:type="dxa"/>
              <w:left w:w="108" w:type="dxa"/>
              <w:bottom w:w="0" w:type="dxa"/>
              <w:right w:w="108" w:type="dxa"/>
            </w:tcMar>
            <w:hideMark/>
          </w:tcPr>
          <w:p w14:paraId="33AF9F0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3749B1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5B6DDEF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210FE3C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9A223A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C3EC01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6E5D21E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5E98C8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6BC1F8E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B77980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06102F2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5EE4A4E"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1A5695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1C690F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09B2FD5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32AE98C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6F27C26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635A383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nil"/>
              <w:left w:val="nil"/>
              <w:bottom w:val="single" w:sz="8" w:space="0" w:color="auto"/>
              <w:right w:val="single" w:sz="8" w:space="0" w:color="auto"/>
            </w:tcBorders>
            <w:tcMar>
              <w:top w:w="0" w:type="dxa"/>
              <w:left w:w="108" w:type="dxa"/>
              <w:bottom w:w="0" w:type="dxa"/>
              <w:right w:w="108" w:type="dxa"/>
            </w:tcMar>
          </w:tcPr>
          <w:p w14:paraId="172BA2C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010450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B34A86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7E2D849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334437B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B1A4B5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AC9E72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EB4CD9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9408D60"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C7C5C1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9E5AB6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AEC9DF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02745AD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44CD51E7"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3CBF16D"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1F9994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2F7AC30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1398321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50C67AB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FFD966" w:themeFill="accent4" w:themeFillTint="99"/>
          </w:tcPr>
          <w:p w14:paraId="695DA613" w14:textId="244E5677" w:rsidR="00C043D2" w:rsidRPr="001531A8" w:rsidRDefault="000C0E57" w:rsidP="002E59EA">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32" w:type="dxa"/>
            <w:tcBorders>
              <w:top w:val="nil"/>
              <w:left w:val="nil"/>
              <w:bottom w:val="single" w:sz="8" w:space="0" w:color="auto"/>
              <w:right w:val="single" w:sz="8" w:space="0" w:color="auto"/>
            </w:tcBorders>
          </w:tcPr>
          <w:p w14:paraId="48B9159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F7D66BD" w14:textId="3461B5C4"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hideMark/>
          </w:tcPr>
          <w:p w14:paraId="08DB65A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auto"/>
              <w:right w:val="single" w:sz="8" w:space="0" w:color="auto"/>
            </w:tcBorders>
          </w:tcPr>
          <w:p w14:paraId="63D7C7C1"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r>
      <w:tr w:rsidR="00C043D2" w:rsidRPr="001531A8" w14:paraId="1442DB3D" w14:textId="77777777" w:rsidTr="002E59EA">
        <w:tc>
          <w:tcPr>
            <w:tcW w:w="11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43EC8"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NPDSCH</w:t>
            </w:r>
          </w:p>
        </w:tc>
        <w:tc>
          <w:tcPr>
            <w:tcW w:w="277" w:type="dxa"/>
            <w:tcBorders>
              <w:top w:val="single" w:sz="8" w:space="0" w:color="4472C4"/>
              <w:left w:val="nil"/>
              <w:bottom w:val="single" w:sz="8" w:space="0" w:color="auto"/>
              <w:right w:val="single" w:sz="8" w:space="0" w:color="auto"/>
            </w:tcBorders>
            <w:tcMar>
              <w:top w:w="0" w:type="dxa"/>
              <w:left w:w="108" w:type="dxa"/>
              <w:bottom w:w="0" w:type="dxa"/>
              <w:right w:w="108" w:type="dxa"/>
            </w:tcMar>
            <w:hideMark/>
          </w:tcPr>
          <w:p w14:paraId="0D0975F2"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EFE7EFC" w14:textId="77777777" w:rsidR="00C043D2" w:rsidRPr="001531A8" w:rsidRDefault="00C043D2"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A5A9F"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9534DC4"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6BDB4765"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3025" w:type="dxa"/>
            <w:gridSpan w:val="10"/>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564EDCCF"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2104" w:type="dxa"/>
            <w:gridSpan w:val="10"/>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2A79D96D"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132" w:type="dxa"/>
            <w:tcBorders>
              <w:top w:val="single" w:sz="8" w:space="0" w:color="auto"/>
              <w:left w:val="nil"/>
              <w:bottom w:val="single" w:sz="8" w:space="0" w:color="auto"/>
              <w:right w:val="single" w:sz="8" w:space="0" w:color="auto"/>
            </w:tcBorders>
          </w:tcPr>
          <w:p w14:paraId="1F96F77A"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DA0C4B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BA829BB"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D559EB6"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8B6734C"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A7219E2"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6579C89" w14:textId="77777777" w:rsidR="00C043D2" w:rsidRPr="001531A8" w:rsidRDefault="00C043D2"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A1D1EC4"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A322DBA"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2112166"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63AFDF3"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02D4074"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30E5F35"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9674F85"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B626C52"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9E258D0"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B75E0EE" w14:textId="77777777" w:rsidR="00C043D2" w:rsidRPr="001531A8" w:rsidRDefault="00C043D2" w:rsidP="00704657">
            <w:pPr>
              <w:overflowPunct/>
              <w:autoSpaceDE/>
              <w:autoSpaceDN/>
              <w:adjustRightInd/>
              <w:spacing w:after="0"/>
              <w:jc w:val="center"/>
              <w:textAlignment w:val="auto"/>
              <w:rPr>
                <w:rFonts w:asciiTheme="minorHAnsi" w:hAnsiTheme="minorHAnsi" w:cstheme="minorHAnsi"/>
                <w:sz w:val="12"/>
                <w:szCs w:val="12"/>
                <w:lang w:eastAsia="en-GB"/>
              </w:rPr>
            </w:pPr>
          </w:p>
        </w:tc>
      </w:tr>
      <w:tr w:rsidR="002E59EA" w:rsidRPr="001531A8" w14:paraId="76B3C45D" w14:textId="77777777" w:rsidTr="002E59EA">
        <w:tc>
          <w:tcPr>
            <w:tcW w:w="534" w:type="dxa"/>
            <w:vMerge w:val="restart"/>
            <w:tcBorders>
              <w:top w:val="nil"/>
              <w:left w:val="single" w:sz="8" w:space="0" w:color="auto"/>
              <w:right w:val="single" w:sz="8" w:space="0" w:color="auto"/>
            </w:tcBorders>
            <w:tcMar>
              <w:top w:w="0" w:type="dxa"/>
              <w:left w:w="108" w:type="dxa"/>
              <w:bottom w:w="0" w:type="dxa"/>
              <w:right w:w="108" w:type="dxa"/>
            </w:tcMar>
            <w:hideMark/>
          </w:tcPr>
          <w:p w14:paraId="20E95B56" w14:textId="77777777" w:rsidR="002E59EA" w:rsidRDefault="002E59EA" w:rsidP="00704657">
            <w:pPr>
              <w:spacing w:after="0"/>
              <w:rPr>
                <w:rFonts w:asciiTheme="minorHAnsi" w:hAnsiTheme="minorHAnsi" w:cstheme="minorHAnsi"/>
                <w:sz w:val="12"/>
                <w:szCs w:val="12"/>
                <w:lang w:eastAsia="en-GB"/>
              </w:rPr>
            </w:pPr>
          </w:p>
          <w:p w14:paraId="4A942788" w14:textId="30D61B7D" w:rsidR="002E59EA" w:rsidRPr="001531A8" w:rsidRDefault="002E59EA" w:rsidP="00704657">
            <w:pPr>
              <w:spacing w:after="0"/>
              <w:rPr>
                <w:rFonts w:asciiTheme="minorHAnsi" w:hAnsiTheme="minorHAnsi" w:cstheme="minorHAnsi"/>
                <w:sz w:val="12"/>
                <w:szCs w:val="12"/>
                <w:lang w:eastAsia="en-GB"/>
              </w:rPr>
            </w:pPr>
            <w:r w:rsidRPr="001531A8">
              <w:rPr>
                <w:rFonts w:asciiTheme="minorHAnsi" w:hAnsiTheme="minorHAnsi" w:cstheme="minorHAnsi"/>
                <w:sz w:val="12"/>
                <w:szCs w:val="12"/>
                <w:lang w:eastAsia="en-GB"/>
              </w:rPr>
              <w:t>For HARQ Process #0</w:t>
            </w:r>
          </w:p>
        </w:tc>
        <w:tc>
          <w:tcPr>
            <w:tcW w:w="577" w:type="dxa"/>
            <w:tcBorders>
              <w:top w:val="nil"/>
              <w:left w:val="single" w:sz="8" w:space="0" w:color="auto"/>
              <w:bottom w:val="single" w:sz="8" w:space="0" w:color="4472C4"/>
              <w:right w:val="single" w:sz="8" w:space="0" w:color="auto"/>
            </w:tcBorders>
          </w:tcPr>
          <w:p w14:paraId="63E15F4B" w14:textId="62E86FC9"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 Enabled</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811998F"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63CF092"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AE5E0E9"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FF23C9C"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B0C1113"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F7EF07"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99B350"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80E0C1"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3AF3AD"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A30A17"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C6F0D1"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11614F"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CEF64E"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BE9AD" w14:textId="77777777" w:rsidR="002E59EA" w:rsidRPr="001531A8" w:rsidRDefault="002E59EA"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0556F" w14:textId="77777777" w:rsidR="002E59EA" w:rsidRPr="001531A8" w:rsidRDefault="002E59E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A5705" w14:textId="77777777" w:rsidR="002E59EA" w:rsidRPr="001531A8" w:rsidRDefault="002E59E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993089" w14:textId="77777777" w:rsidR="002E59EA" w:rsidRPr="001531A8" w:rsidRDefault="002E59EA"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E7C9D1" w14:textId="77777777" w:rsidR="002E59EA" w:rsidRPr="001531A8" w:rsidRDefault="002E59EA"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362CCB"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86147BB"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7099EA2"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717948D"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EAACE0C"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9AF80B1"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CE8FA71"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C0DDA30"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A784F1C"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64" w:type="dxa"/>
            <w:gridSpan w:val="2"/>
            <w:tcBorders>
              <w:top w:val="single" w:sz="8" w:space="0" w:color="auto"/>
              <w:left w:val="nil"/>
              <w:bottom w:val="single" w:sz="8" w:space="0" w:color="auto"/>
              <w:right w:val="single" w:sz="8" w:space="0" w:color="auto"/>
            </w:tcBorders>
            <w:shd w:val="clear" w:color="auto" w:fill="0080C0"/>
          </w:tcPr>
          <w:p w14:paraId="23EC6678" w14:textId="1B09699D"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32" w:type="dxa"/>
            <w:tcBorders>
              <w:top w:val="single" w:sz="8" w:space="0" w:color="auto"/>
              <w:left w:val="nil"/>
              <w:bottom w:val="single" w:sz="8" w:space="0" w:color="auto"/>
              <w:right w:val="single" w:sz="8" w:space="0" w:color="auto"/>
            </w:tcBorders>
            <w:shd w:val="clear" w:color="auto" w:fill="auto"/>
          </w:tcPr>
          <w:p w14:paraId="3F23E023"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E5A70AF"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EA1DED6"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2EE9BD9"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6DDA116"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F7986E1"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4386749"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0DC895B" w14:textId="0654BE1C"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hideMark/>
          </w:tcPr>
          <w:p w14:paraId="378E4CC3"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923B379"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9A9129C"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063BA27F"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38D5A1FA"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r>
      <w:tr w:rsidR="00F83C43" w:rsidRPr="001531A8" w14:paraId="11F6154B" w14:textId="77777777" w:rsidTr="002E59EA">
        <w:tc>
          <w:tcPr>
            <w:tcW w:w="534"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9812E1A" w14:textId="3126AE37" w:rsidR="00F83C43" w:rsidRPr="007E18CD" w:rsidRDefault="00F83C43"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1BD28147" w14:textId="77777777" w:rsidR="00F83C43" w:rsidRPr="007E18CD" w:rsidRDefault="00F83C43"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5B62E7F"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108" w:type="dxa"/>
            <w:gridSpan w:val="4"/>
            <w:tcBorders>
              <w:top w:val="nil"/>
              <w:left w:val="nil"/>
              <w:bottom w:val="single" w:sz="8" w:space="0" w:color="4472C4"/>
              <w:right w:val="single" w:sz="8" w:space="0" w:color="auto"/>
            </w:tcBorders>
            <w:tcMar>
              <w:top w:w="0" w:type="dxa"/>
              <w:left w:w="108" w:type="dxa"/>
              <w:bottom w:w="0" w:type="dxa"/>
              <w:right w:w="108" w:type="dxa"/>
            </w:tcMar>
          </w:tcPr>
          <w:p w14:paraId="6922B6B2"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C7AE8A"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7FE934"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226083"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DD354A"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23E75"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3301F8"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F5D69"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0F6894"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2BAAAA" w14:textId="77777777" w:rsidR="00F83C43" w:rsidRPr="001531A8" w:rsidRDefault="00F83C43"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F1EBD" w14:textId="77777777" w:rsidR="00F83C43" w:rsidRPr="001531A8" w:rsidRDefault="00F83C43"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107B" w14:textId="77777777" w:rsidR="00F83C43" w:rsidRPr="001531A8" w:rsidRDefault="00F83C43"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03EDA9" w14:textId="77777777" w:rsidR="00F83C43" w:rsidRPr="001531A8" w:rsidRDefault="00F83C43"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C16854" w14:textId="77777777" w:rsidR="00F83C43" w:rsidRPr="001531A8" w:rsidRDefault="00F83C43"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CC22C7"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E5EF1FA"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B75DACF"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35832FA"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9A8A3B9"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59DB045"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D802C85"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938C20E"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17987D4"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E5C837D"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E2D4A72"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A8DD0F3"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D95FCCD"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E102E58"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DCED90F"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369EE49"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1E75E8E"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4234720"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86C72CA"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37C72E5"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528" w:type="dxa"/>
            <w:gridSpan w:val="4"/>
            <w:tcBorders>
              <w:top w:val="single" w:sz="8" w:space="0" w:color="auto"/>
              <w:left w:val="nil"/>
              <w:bottom w:val="single" w:sz="8" w:space="0" w:color="auto"/>
              <w:right w:val="single" w:sz="8" w:space="0" w:color="auto"/>
            </w:tcBorders>
            <w:shd w:val="clear" w:color="auto" w:fill="auto"/>
          </w:tcPr>
          <w:p w14:paraId="485087EB" w14:textId="77777777" w:rsidR="00F83C43" w:rsidRDefault="00F83C43"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 xml:space="preserve"> </w:t>
            </w:r>
          </w:p>
          <w:p w14:paraId="547B1C36" w14:textId="77777777" w:rsidR="00F83C43"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4ms</w:t>
            </w:r>
          </w:p>
        </w:tc>
      </w:tr>
      <w:tr w:rsidR="002E59EA" w:rsidRPr="001531A8" w14:paraId="3FA5C7FC" w14:textId="77777777" w:rsidTr="002E59EA">
        <w:tc>
          <w:tcPr>
            <w:tcW w:w="534"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B6D1C98" w14:textId="77777777" w:rsidR="002E59EA" w:rsidRDefault="002E59EA" w:rsidP="00704657">
            <w:pPr>
              <w:spacing w:after="0"/>
              <w:rPr>
                <w:rFonts w:asciiTheme="minorHAnsi" w:hAnsiTheme="minorHAnsi" w:cstheme="minorHAnsi"/>
                <w:sz w:val="12"/>
                <w:szCs w:val="12"/>
                <w:lang w:eastAsia="en-GB"/>
              </w:rPr>
            </w:pPr>
          </w:p>
          <w:p w14:paraId="34C524A2" w14:textId="1490A094" w:rsidR="002E59EA" w:rsidRPr="001531A8" w:rsidRDefault="002E59EA" w:rsidP="00704657">
            <w:pPr>
              <w:spacing w:after="0"/>
              <w:rPr>
                <w:rFonts w:asciiTheme="minorHAnsi" w:hAnsiTheme="minorHAnsi" w:cstheme="minorHAnsi"/>
                <w:sz w:val="12"/>
                <w:szCs w:val="12"/>
                <w:lang w:eastAsia="en-GB"/>
              </w:rPr>
            </w:pPr>
            <w:r w:rsidRPr="001531A8">
              <w:rPr>
                <w:rFonts w:asciiTheme="minorHAnsi" w:hAnsiTheme="minorHAnsi" w:cstheme="minorHAnsi"/>
                <w:sz w:val="12"/>
                <w:szCs w:val="12"/>
                <w:lang w:eastAsia="en-GB"/>
              </w:rPr>
              <w:t>For HARQ Process #</w:t>
            </w:r>
            <w:r>
              <w:rPr>
                <w:rFonts w:asciiTheme="minorHAnsi" w:hAnsiTheme="minorHAnsi" w:cstheme="minorHAnsi"/>
                <w:sz w:val="12"/>
                <w:szCs w:val="12"/>
                <w:lang w:eastAsia="en-GB"/>
              </w:rPr>
              <w:t>1</w:t>
            </w:r>
          </w:p>
        </w:tc>
        <w:tc>
          <w:tcPr>
            <w:tcW w:w="577" w:type="dxa"/>
            <w:tcBorders>
              <w:top w:val="nil"/>
              <w:left w:val="single" w:sz="8" w:space="0" w:color="auto"/>
              <w:bottom w:val="single" w:sz="8" w:space="0" w:color="4472C4"/>
              <w:right w:val="single" w:sz="8" w:space="0" w:color="auto"/>
            </w:tcBorders>
          </w:tcPr>
          <w:p w14:paraId="0A1B32D2" w14:textId="54707008"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 Disabled, instead Y = 12</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0795F35"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F62A19A" w14:textId="77777777" w:rsidR="002E59EA"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Pr>
          <w:p w14:paraId="55DE501C" w14:textId="77777777" w:rsidR="002E59EA"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Pr>
          <w:p w14:paraId="4CB420BB" w14:textId="77777777" w:rsidR="002E59EA"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Pr>
          <w:p w14:paraId="5B464194" w14:textId="7B232C2D" w:rsidR="002E59EA"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4EB5FD"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A881FA"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F3035"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3939AC"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663BD8"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12CECC"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942F5D"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9F905"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326EF" w14:textId="77777777" w:rsidR="002E59EA" w:rsidRPr="001531A8" w:rsidRDefault="002E59EA" w:rsidP="00704657">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F96ACE" w14:textId="77777777" w:rsidR="002E59EA" w:rsidRPr="001531A8" w:rsidRDefault="002E59E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831B5B" w14:textId="77777777" w:rsidR="002E59EA" w:rsidRPr="001531A8" w:rsidRDefault="002E59EA"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BD4696" w14:textId="77777777" w:rsidR="002E59EA" w:rsidRPr="001531A8" w:rsidRDefault="002E59EA"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498869" w14:textId="77777777" w:rsidR="002E59EA" w:rsidRPr="001531A8" w:rsidRDefault="002E59EA"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0C87"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D043C21"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683BAD2"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16A2E0D6"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1981D5B"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43AAD498"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BAAAF54" w14:textId="77777777" w:rsidR="002E59EA" w:rsidRPr="001531A8"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584" w:type="dxa"/>
            <w:gridSpan w:val="12"/>
            <w:tcBorders>
              <w:top w:val="single" w:sz="8" w:space="0" w:color="auto"/>
              <w:left w:val="nil"/>
              <w:bottom w:val="single" w:sz="8" w:space="0" w:color="auto"/>
              <w:right w:val="single" w:sz="8" w:space="0" w:color="auto"/>
            </w:tcBorders>
            <w:shd w:val="clear" w:color="auto" w:fill="FFFF00"/>
          </w:tcPr>
          <w:p w14:paraId="2900F05F" w14:textId="77777777" w:rsidR="002E59EA" w:rsidRDefault="002E59EA" w:rsidP="002E59EA">
            <w:pPr>
              <w:overflowPunct/>
              <w:autoSpaceDE/>
              <w:autoSpaceDN/>
              <w:adjustRightInd/>
              <w:spacing w:after="0"/>
              <w:jc w:val="center"/>
              <w:textAlignment w:val="auto"/>
              <w:rPr>
                <w:rFonts w:asciiTheme="minorHAnsi" w:hAnsiTheme="minorHAnsi" w:cstheme="minorHAnsi"/>
                <w:sz w:val="12"/>
                <w:szCs w:val="12"/>
                <w:lang w:eastAsia="en-GB"/>
              </w:rPr>
            </w:pPr>
          </w:p>
          <w:p w14:paraId="037005E7" w14:textId="07217137" w:rsidR="002E59EA" w:rsidRPr="001531A8" w:rsidRDefault="002E59EA" w:rsidP="002E59EA">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12ms</w:t>
            </w:r>
          </w:p>
        </w:tc>
        <w:tc>
          <w:tcPr>
            <w:tcW w:w="132" w:type="dxa"/>
            <w:tcBorders>
              <w:top w:val="single" w:sz="8" w:space="0" w:color="auto"/>
              <w:left w:val="nil"/>
              <w:bottom w:val="single" w:sz="8" w:space="0" w:color="auto"/>
              <w:right w:val="single" w:sz="8" w:space="0" w:color="auto"/>
            </w:tcBorders>
            <w:shd w:val="clear" w:color="auto" w:fill="auto"/>
          </w:tcPr>
          <w:p w14:paraId="7B9F2084" w14:textId="77777777" w:rsidR="002E59EA" w:rsidRPr="001531A8" w:rsidRDefault="002E59EA"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BDA7793" w14:textId="77777777" w:rsidR="002E59EA"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72A1C17" w14:textId="77777777" w:rsidR="002E59EA"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5848874" w14:textId="77777777" w:rsidR="002E59EA"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2AF7199" w14:textId="2EB6F4CF" w:rsidR="002E59EA" w:rsidRDefault="002E59EA" w:rsidP="00704657">
            <w:pPr>
              <w:overflowPunct/>
              <w:autoSpaceDE/>
              <w:autoSpaceDN/>
              <w:adjustRightInd/>
              <w:spacing w:after="0"/>
              <w:textAlignment w:val="auto"/>
              <w:rPr>
                <w:rFonts w:asciiTheme="minorHAnsi" w:hAnsiTheme="minorHAnsi" w:cstheme="minorHAnsi"/>
                <w:sz w:val="12"/>
                <w:szCs w:val="12"/>
                <w:lang w:eastAsia="en-GB"/>
              </w:rPr>
            </w:pPr>
          </w:p>
        </w:tc>
      </w:tr>
      <w:tr w:rsidR="00F83C43" w:rsidRPr="001531A8" w14:paraId="6BC4C2A4" w14:textId="77777777" w:rsidTr="002E59EA">
        <w:tc>
          <w:tcPr>
            <w:tcW w:w="534"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289B9146" w14:textId="630E2F4A" w:rsidR="00F83C43" w:rsidRPr="007E18CD" w:rsidRDefault="00F83C43" w:rsidP="00704657">
            <w:pPr>
              <w:overflowPunct/>
              <w:autoSpaceDE/>
              <w:autoSpaceDN/>
              <w:adjustRightInd/>
              <w:spacing w:after="0"/>
              <w:textAlignment w:val="auto"/>
              <w:rPr>
                <w:rFonts w:asciiTheme="minorHAnsi" w:hAnsiTheme="minorHAnsi" w:cstheme="minorHAnsi"/>
                <w:color w:val="FF0000"/>
                <w:sz w:val="12"/>
                <w:szCs w:val="12"/>
                <w:lang w:eastAsia="en-GB"/>
              </w:rPr>
            </w:pPr>
          </w:p>
        </w:tc>
        <w:tc>
          <w:tcPr>
            <w:tcW w:w="577" w:type="dxa"/>
            <w:tcBorders>
              <w:top w:val="nil"/>
              <w:left w:val="single" w:sz="8" w:space="0" w:color="auto"/>
              <w:bottom w:val="single" w:sz="8" w:space="0" w:color="4472C4"/>
              <w:right w:val="single" w:sz="8" w:space="0" w:color="auto"/>
            </w:tcBorders>
          </w:tcPr>
          <w:p w14:paraId="7320F8A7" w14:textId="77777777" w:rsidR="00F83C43" w:rsidRPr="007E18CD" w:rsidRDefault="00F83C43" w:rsidP="00704657">
            <w:pPr>
              <w:overflowPunct/>
              <w:autoSpaceDE/>
              <w:autoSpaceDN/>
              <w:adjustRightInd/>
              <w:spacing w:after="0"/>
              <w:textAlignment w:val="auto"/>
              <w:rPr>
                <w:rFonts w:asciiTheme="minorHAnsi" w:hAnsiTheme="minorHAnsi" w:cstheme="minorHAnsi"/>
                <w:color w:val="FF0000"/>
                <w:sz w:val="12"/>
                <w:szCs w:val="12"/>
                <w:lang w:eastAsia="en-GB"/>
              </w:rPr>
            </w:pPr>
            <w:r w:rsidRPr="001531A8">
              <w:rPr>
                <w:rFonts w:asciiTheme="minorHAnsi" w:hAnsiTheme="minorHAnsi" w:cstheme="minorHAnsi"/>
                <w:sz w:val="12"/>
                <w:szCs w:val="12"/>
                <w:lang w:eastAsia="en-GB"/>
              </w:rPr>
              <w:t>NDPCCH to NPDSCH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2F010C8"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EC0BB12"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2D58964"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3579" w:type="dxa"/>
            <w:gridSpan w:val="12"/>
            <w:tcBorders>
              <w:top w:val="nil"/>
              <w:left w:val="nil"/>
              <w:bottom w:val="single" w:sz="8" w:space="0" w:color="4472C4"/>
              <w:right w:val="single" w:sz="8" w:space="0" w:color="auto"/>
            </w:tcBorders>
            <w:tcMar>
              <w:top w:w="0" w:type="dxa"/>
              <w:left w:w="108" w:type="dxa"/>
              <w:bottom w:w="0" w:type="dxa"/>
              <w:right w:w="108" w:type="dxa"/>
            </w:tcMar>
          </w:tcPr>
          <w:p w14:paraId="750491B9" w14:textId="77777777" w:rsidR="00F83C43" w:rsidRPr="001531A8" w:rsidRDefault="00F83C43" w:rsidP="00704657">
            <w:pPr>
              <w:overflowPunct/>
              <w:autoSpaceDE/>
              <w:autoSpaceDN/>
              <w:adjustRightInd/>
              <w:spacing w:after="0"/>
              <w:jc w:val="center"/>
              <w:textAlignment w:val="auto"/>
              <w:rPr>
                <w:rFonts w:asciiTheme="minorHAnsi" w:eastAsia="Times New Roman" w:hAnsiTheme="minorHAnsi" w:cstheme="minorHAnsi"/>
                <w:sz w:val="12"/>
                <w:szCs w:val="12"/>
                <w:lang w:val="sv-SE" w:eastAsia="sv-SE"/>
              </w:rPr>
            </w:pPr>
            <w:r>
              <w:rPr>
                <w:rFonts w:asciiTheme="minorHAnsi" w:eastAsia="Times New Roman" w:hAnsiTheme="minorHAnsi" w:cstheme="minorHAnsi"/>
                <w:sz w:val="12"/>
                <w:szCs w:val="12"/>
                <w:lang w:val="sv-SE" w:eastAsia="sv-SE"/>
              </w:rPr>
              <w:t>12ms</w:t>
            </w: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576296" w14:textId="77777777" w:rsidR="00F83C43" w:rsidRPr="001531A8" w:rsidRDefault="00F83C43" w:rsidP="00704657">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6E0269" w14:textId="77777777" w:rsidR="00F83C43" w:rsidRPr="001531A8" w:rsidRDefault="00F83C43" w:rsidP="00704657">
            <w:pPr>
              <w:overflowPunct/>
              <w:autoSpaceDE/>
              <w:autoSpaceDN/>
              <w:adjustRightInd/>
              <w:spacing w:after="0"/>
              <w:textAlignment w:val="auto"/>
              <w:rPr>
                <w:rFonts w:asciiTheme="minorHAnsi" w:eastAsia="Calibri" w:hAnsiTheme="minorHAnsi" w:cstheme="minorHAnsi"/>
                <w:sz w:val="12"/>
                <w:szCs w:val="12"/>
                <w:lang w:eastAsia="sv-SE"/>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61E5" w14:textId="77777777" w:rsidR="00F83C43" w:rsidRPr="001531A8" w:rsidRDefault="00F83C43" w:rsidP="00704657">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3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3B4976"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547E0158"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1066B3C"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6E4C7D3D"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76D7FF5"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0ED27D26"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3C17D58D"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tcPr>
          <w:p w14:paraId="79684548"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036CACD"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10EE6D3"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3BA0A03"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31EFB5E"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169E1CBE"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4AC16576"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785E41CC"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530F1875"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52A2955"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D8059C7"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0000EE1B"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3EBB27DF"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2CF57A58" w14:textId="77777777" w:rsidR="00F83C43" w:rsidRPr="001531A8" w:rsidRDefault="00F83C43" w:rsidP="00704657">
            <w:pPr>
              <w:overflowPunct/>
              <w:autoSpaceDE/>
              <w:autoSpaceDN/>
              <w:adjustRightInd/>
              <w:spacing w:after="0"/>
              <w:jc w:val="center"/>
              <w:textAlignment w:val="auto"/>
              <w:rPr>
                <w:rFonts w:asciiTheme="minorHAnsi" w:hAnsiTheme="minorHAnsi" w:cstheme="minorHAnsi"/>
                <w:sz w:val="12"/>
                <w:szCs w:val="12"/>
                <w:lang w:eastAsia="en-GB"/>
              </w:rPr>
            </w:pPr>
          </w:p>
        </w:tc>
        <w:tc>
          <w:tcPr>
            <w:tcW w:w="132" w:type="dxa"/>
            <w:tcBorders>
              <w:top w:val="single" w:sz="8" w:space="0" w:color="auto"/>
              <w:left w:val="nil"/>
              <w:bottom w:val="single" w:sz="8" w:space="0" w:color="auto"/>
              <w:right w:val="single" w:sz="8" w:space="0" w:color="auto"/>
            </w:tcBorders>
            <w:shd w:val="clear" w:color="auto" w:fill="auto"/>
          </w:tcPr>
          <w:p w14:paraId="60634B8C"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5C5621EF"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c>
          <w:tcPr>
            <w:tcW w:w="132" w:type="dxa"/>
            <w:tcBorders>
              <w:top w:val="nil"/>
              <w:left w:val="nil"/>
              <w:bottom w:val="single" w:sz="8" w:space="0" w:color="4472C4"/>
              <w:right w:val="single" w:sz="8" w:space="0" w:color="auto"/>
            </w:tcBorders>
          </w:tcPr>
          <w:p w14:paraId="6F60B320" w14:textId="77777777" w:rsidR="00F83C43" w:rsidRPr="001531A8" w:rsidRDefault="00F83C43" w:rsidP="00704657">
            <w:pPr>
              <w:overflowPunct/>
              <w:autoSpaceDE/>
              <w:autoSpaceDN/>
              <w:adjustRightInd/>
              <w:spacing w:after="0"/>
              <w:textAlignment w:val="auto"/>
              <w:rPr>
                <w:rFonts w:asciiTheme="minorHAnsi" w:hAnsiTheme="minorHAnsi" w:cstheme="minorHAnsi"/>
                <w:sz w:val="12"/>
                <w:szCs w:val="12"/>
                <w:lang w:eastAsia="en-GB"/>
              </w:rPr>
            </w:pPr>
          </w:p>
        </w:tc>
      </w:tr>
    </w:tbl>
    <w:p w14:paraId="2C74EB51" w14:textId="77777777" w:rsidR="00F86B15" w:rsidRDefault="00F86B15" w:rsidP="00F86B15">
      <w:pPr>
        <w:jc w:val="both"/>
      </w:pPr>
    </w:p>
    <w:p w14:paraId="5213F31F" w14:textId="5DCA1144" w:rsidR="00191801" w:rsidRDefault="00F86B15" w:rsidP="00F86B15">
      <w:pPr>
        <w:jc w:val="both"/>
      </w:pPr>
      <w:r>
        <w:lastRenderedPageBreak/>
        <w:t xml:space="preserve">In the diagram above we can see that at subframe# 27 NPUSCH Format 2 is transmitted for HARQ process#0 and few milliseconds later the subsequent NPDCCH for HARQ process #1 would be allowed to be received earliest at subframe #37. </w:t>
      </w:r>
      <w:r w:rsidR="00646FB9">
        <w:t>In principle there is no Rx/Tx conflict, h</w:t>
      </w:r>
      <w:r>
        <w:t>owever the</w:t>
      </w:r>
      <w:r w:rsidR="009B4A9A">
        <w:t xml:space="preserve"> fixed</w:t>
      </w:r>
      <w:r>
        <w:t xml:space="preserve"> reference timing of Y =12ms </w:t>
      </w:r>
      <w:r w:rsidR="009B4A9A">
        <w:t>during which</w:t>
      </w:r>
      <w:r>
        <w:t xml:space="preserve"> the “</w:t>
      </w:r>
      <w:r w:rsidRPr="00632C88">
        <w:rPr>
          <w:sz w:val="16"/>
          <w:szCs w:val="16"/>
          <w:lang w:val="en-US" w:eastAsia="x-none"/>
        </w:rPr>
        <w:t xml:space="preserve">UE is not required to monitor </w:t>
      </w:r>
      <w:r>
        <w:rPr>
          <w:sz w:val="16"/>
          <w:szCs w:val="16"/>
          <w:lang w:val="en-US" w:eastAsia="x-none"/>
        </w:rPr>
        <w:t>N</w:t>
      </w:r>
      <w:r w:rsidRPr="00632C88">
        <w:rPr>
          <w:sz w:val="16"/>
          <w:szCs w:val="16"/>
          <w:lang w:val="en-US" w:eastAsia="x-none"/>
        </w:rPr>
        <w:t>PDCCH</w:t>
      </w:r>
      <w:r>
        <w:t>” won’t be suitable when NPUSCH Format2 is required to use repetitions and we also need to consider that NPUSCH Format 2 can use a subcarrier spacing of 15KHz (RU length 2ms) or 3.75KHz (RU length 8ms).</w:t>
      </w:r>
    </w:p>
    <w:p w14:paraId="0C01A03E" w14:textId="4B74AAD5" w:rsidR="00D014E9" w:rsidRPr="003B154E" w:rsidRDefault="00D014E9" w:rsidP="00D014E9">
      <w:pPr>
        <w:pStyle w:val="Heading3"/>
      </w:pPr>
      <w:r>
        <w:t>4.1.3</w:t>
      </w:r>
      <w:r>
        <w:tab/>
      </w:r>
      <w:bookmarkStart w:id="34" w:name="_Hlk113995617"/>
      <w:r w:rsidR="0017236D">
        <w:t>Summary</w:t>
      </w:r>
      <w:r w:rsidR="0071280A">
        <w:t xml:space="preserve">: </w:t>
      </w:r>
      <w:r w:rsidR="00A71EE5">
        <w:t xml:space="preserve">NB-IoT </w:t>
      </w:r>
      <w:r w:rsidR="004E0CDF">
        <w:t xml:space="preserve">scenario where </w:t>
      </w:r>
      <w:r w:rsidR="004E0CDF" w:rsidRPr="004E0CDF">
        <w:t>“HARQ feedback” is enabled for one HARQ processes and disabled for the other one</w:t>
      </w:r>
      <w:bookmarkEnd w:id="34"/>
    </w:p>
    <w:p w14:paraId="3BD4984A" w14:textId="75252455" w:rsidR="00D014E9" w:rsidRDefault="004E0CDF" w:rsidP="00414A1B">
      <w:pPr>
        <w:jc w:val="both"/>
      </w:pPr>
      <w:r>
        <w:t>Based on the analysis on 4.1.</w:t>
      </w:r>
      <w:r w:rsidR="004637D1">
        <w:t>1</w:t>
      </w:r>
      <w:r>
        <w:t xml:space="preserve"> and 4.1.2 we have the following observations and proposals:</w:t>
      </w:r>
    </w:p>
    <w:p w14:paraId="2A14BDEA" w14:textId="77777777" w:rsidR="00401AE8" w:rsidRDefault="00375E4B" w:rsidP="00414A1B">
      <w:pPr>
        <w:pStyle w:val="Observation"/>
        <w:ind w:left="1701" w:hanging="1701"/>
      </w:pPr>
      <w:bookmarkStart w:id="35" w:name="_Toc115380697"/>
      <w:r>
        <w:t>When there are two HARQ processes in use, if “</w:t>
      </w:r>
      <w:r w:rsidRPr="00795DED">
        <w:t>HARQ feedback is disabled for the 1</w:t>
      </w:r>
      <w:r w:rsidRPr="00414A1B">
        <w:rPr>
          <w:vertAlign w:val="superscript"/>
        </w:rPr>
        <w:t>st</w:t>
      </w:r>
      <w:r w:rsidRPr="00795DED">
        <w:t xml:space="preserve"> HARQ processes and enabled for the 2</w:t>
      </w:r>
      <w:r w:rsidRPr="00414A1B">
        <w:rPr>
          <w:vertAlign w:val="superscript"/>
        </w:rPr>
        <w:t>nd</w:t>
      </w:r>
      <w:r w:rsidRPr="00795DED">
        <w:t xml:space="preserve"> HARQ processes</w:t>
      </w:r>
      <w:r>
        <w:t>”, there is a</w:t>
      </w:r>
      <w:r w:rsidR="00401AE8">
        <w:t>n</w:t>
      </w:r>
      <w:r>
        <w:t xml:space="preserve"> Rx/Tx conflict at the subframe right after 12ms “</w:t>
      </w:r>
      <w:r w:rsidRPr="0070537C">
        <w:rPr>
          <w:i/>
          <w:iCs/>
        </w:rPr>
        <w:t>from the end of reception of the last NPDSCH</w:t>
      </w:r>
      <w:r>
        <w:t>”</w:t>
      </w:r>
      <w:bookmarkEnd w:id="35"/>
    </w:p>
    <w:p w14:paraId="44F0DEEF" w14:textId="2EB2A162" w:rsidR="00375E4B" w:rsidRDefault="00401AE8" w:rsidP="00401AE8">
      <w:pPr>
        <w:pStyle w:val="Observation"/>
        <w:numPr>
          <w:ilvl w:val="0"/>
          <w:numId w:val="30"/>
        </w:numPr>
      </w:pPr>
      <w:bookmarkStart w:id="36" w:name="_Toc115380698"/>
      <w:r>
        <w:t xml:space="preserve">The Rx/Tx issue happens </w:t>
      </w:r>
      <w:r w:rsidR="00375E4B">
        <w:t xml:space="preserve">even without considering NPUSCH </w:t>
      </w:r>
      <w:r w:rsidR="008D3F67">
        <w:t xml:space="preserve">Format 2 </w:t>
      </w:r>
      <w:r w:rsidR="00375E4B">
        <w:t xml:space="preserve">repetitions nor the usage of a SCS of 3.75KHz, </w:t>
      </w:r>
      <w:r w:rsidR="0095537C">
        <w:t xml:space="preserve">and </w:t>
      </w:r>
      <w:r w:rsidR="00375E4B">
        <w:t>there is no time for UL-to-DL switching.</w:t>
      </w:r>
      <w:bookmarkEnd w:id="36"/>
    </w:p>
    <w:p w14:paraId="3E94893A" w14:textId="65E7AA7B" w:rsidR="00B213B9" w:rsidRDefault="00B213B9" w:rsidP="00B213B9">
      <w:pPr>
        <w:pStyle w:val="Observation"/>
        <w:ind w:left="1701" w:hanging="1701"/>
      </w:pPr>
      <w:bookmarkStart w:id="37" w:name="_Toc115380699"/>
      <w:r>
        <w:t>When there are two HARQ processes in use, if “</w:t>
      </w:r>
      <w:r w:rsidRPr="00795DED">
        <w:t xml:space="preserve">HARQ feedback is </w:t>
      </w:r>
      <w:r>
        <w:t>ena</w:t>
      </w:r>
      <w:r w:rsidRPr="00795DED">
        <w:t>bled for the 1</w:t>
      </w:r>
      <w:r w:rsidRPr="00414A1B">
        <w:rPr>
          <w:vertAlign w:val="superscript"/>
        </w:rPr>
        <w:t>st</w:t>
      </w:r>
      <w:r w:rsidRPr="00795DED">
        <w:t xml:space="preserve"> HARQ processes and </w:t>
      </w:r>
      <w:r>
        <w:t>dis</w:t>
      </w:r>
      <w:r w:rsidRPr="00795DED">
        <w:t>abled for the 2</w:t>
      </w:r>
      <w:r w:rsidRPr="00414A1B">
        <w:rPr>
          <w:vertAlign w:val="superscript"/>
        </w:rPr>
        <w:t>nd</w:t>
      </w:r>
      <w:r w:rsidRPr="00795DED">
        <w:t xml:space="preserve"> HARQ processes</w:t>
      </w:r>
      <w:r>
        <w:t xml:space="preserve">”, there is a risk of Rx/Tx conflict at the subframe </w:t>
      </w:r>
      <w:r w:rsidR="006411CA">
        <w:t>right after</w:t>
      </w:r>
      <w:r>
        <w:t xml:space="preserve"> 12ms “</w:t>
      </w:r>
      <w:r w:rsidRPr="0070537C">
        <w:rPr>
          <w:i/>
          <w:iCs/>
        </w:rPr>
        <w:t>from the end of reception of the last NPDSCH</w:t>
      </w:r>
      <w:r>
        <w:t>”:</w:t>
      </w:r>
      <w:bookmarkEnd w:id="37"/>
    </w:p>
    <w:p w14:paraId="63614318" w14:textId="3DCF23C7" w:rsidR="00B213B9" w:rsidRDefault="00B213B9" w:rsidP="00B213B9">
      <w:pPr>
        <w:pStyle w:val="Observation"/>
        <w:numPr>
          <w:ilvl w:val="0"/>
          <w:numId w:val="27"/>
        </w:numPr>
      </w:pPr>
      <w:bookmarkStart w:id="38" w:name="_Toc115380700"/>
      <w:r>
        <w:t>The R</w:t>
      </w:r>
      <w:r w:rsidR="004913EF">
        <w:t>x</w:t>
      </w:r>
      <w:r>
        <w:t xml:space="preserve">/Tx conflict depends on whether NPUSCH </w:t>
      </w:r>
      <w:r w:rsidR="004913EF">
        <w:t xml:space="preserve">Format 2 </w:t>
      </w:r>
      <w:r>
        <w:t>uses repetitions.</w:t>
      </w:r>
      <w:bookmarkEnd w:id="38"/>
    </w:p>
    <w:p w14:paraId="2557E56F" w14:textId="15D276E0" w:rsidR="00B213B9" w:rsidRDefault="00B213B9" w:rsidP="00B213B9">
      <w:pPr>
        <w:pStyle w:val="Observation"/>
        <w:numPr>
          <w:ilvl w:val="0"/>
          <w:numId w:val="27"/>
        </w:numPr>
      </w:pPr>
      <w:bookmarkStart w:id="39" w:name="_Toc115380701"/>
      <w:r w:rsidRPr="00B213B9">
        <w:t xml:space="preserve">NPUSCH Format 2 can use a subcarrier spacing </w:t>
      </w:r>
      <w:r>
        <w:t xml:space="preserve">(SCS) </w:t>
      </w:r>
      <w:r w:rsidRPr="00B213B9">
        <w:t xml:space="preserve">of </w:t>
      </w:r>
      <w:r>
        <w:t xml:space="preserve">either </w:t>
      </w:r>
      <w:r w:rsidRPr="00B213B9">
        <w:t>15KHz</w:t>
      </w:r>
      <w:r>
        <w:t xml:space="preserve"> </w:t>
      </w:r>
      <w:r w:rsidR="000C4BD6">
        <w:t xml:space="preserve">(RU = 2ms) </w:t>
      </w:r>
      <w:r>
        <w:t>or 3.75KHz</w:t>
      </w:r>
      <w:r w:rsidR="000C4BD6">
        <w:t xml:space="preserve"> (RU = 8ms)</w:t>
      </w:r>
      <w:r>
        <w:t>, the latter increases the chances of a Rx/Tx conflict.</w:t>
      </w:r>
      <w:bookmarkEnd w:id="39"/>
    </w:p>
    <w:p w14:paraId="3AD5CBA4" w14:textId="6F646683" w:rsidR="00B213B9" w:rsidRDefault="004913EF" w:rsidP="00B213B9">
      <w:pPr>
        <w:pStyle w:val="Proposal"/>
      </w:pPr>
      <w:bookmarkStart w:id="40" w:name="_Toc115380714"/>
      <w:r>
        <w:t>For NB-IoT when there are two HARQ processes in use</w:t>
      </w:r>
      <w:r w:rsidR="00EB38CC">
        <w:t>,</w:t>
      </w:r>
      <w:r>
        <w:t xml:space="preserve"> and</w:t>
      </w:r>
      <w:r w:rsidRPr="004913EF">
        <w:t xml:space="preserve"> “HARQ feedback” is enabled for one HARQ processes and disabled for the other one</w:t>
      </w:r>
      <w:r>
        <w:t>, to avoid a</w:t>
      </w:r>
      <w:r w:rsidR="00C820BB">
        <w:t>n</w:t>
      </w:r>
      <w:r>
        <w:t xml:space="preserve"> Rx/Tx</w:t>
      </w:r>
      <w:r w:rsidR="00C820BB">
        <w:t xml:space="preserve"> conflict</w:t>
      </w:r>
      <w:r>
        <w:t xml:space="preserve"> </w:t>
      </w:r>
      <w:r w:rsidR="00C820BB">
        <w:t xml:space="preserve">RAN1 </w:t>
      </w:r>
      <w:r>
        <w:t>down-select</w:t>
      </w:r>
      <w:r w:rsidR="00C820BB">
        <w:t>s between</w:t>
      </w:r>
      <w:r>
        <w:t>:</w:t>
      </w:r>
      <w:bookmarkEnd w:id="40"/>
    </w:p>
    <w:p w14:paraId="7A464E58" w14:textId="011E1097" w:rsidR="004913EF" w:rsidRDefault="004913EF" w:rsidP="004913EF">
      <w:pPr>
        <w:pStyle w:val="Proposal"/>
        <w:numPr>
          <w:ilvl w:val="0"/>
          <w:numId w:val="28"/>
        </w:numPr>
      </w:pPr>
      <w:bookmarkStart w:id="41" w:name="_Toc115380715"/>
      <w:r>
        <w:t xml:space="preserve">Alt-1: If </w:t>
      </w:r>
      <w:r w:rsidR="00C820BB">
        <w:t xml:space="preserve">among the two </w:t>
      </w:r>
      <w:r w:rsidRPr="004913EF">
        <w:t>HARQ process</w:t>
      </w:r>
      <w:r w:rsidR="00BE6C05">
        <w:t>es</w:t>
      </w:r>
      <w:r w:rsidR="00C820BB">
        <w:t xml:space="preserve"> in use</w:t>
      </w:r>
      <w:r w:rsidRPr="004913EF">
        <w:t xml:space="preserve"> </w:t>
      </w:r>
      <w:r w:rsidR="00C820BB">
        <w:t xml:space="preserve">one of them </w:t>
      </w:r>
      <w:r w:rsidRPr="004913EF">
        <w:t xml:space="preserve">has been required to have </w:t>
      </w:r>
      <w:r w:rsidR="00C820BB">
        <w:t>“</w:t>
      </w:r>
      <w:r w:rsidRPr="004913EF">
        <w:t>HARQ feedback enabled</w:t>
      </w:r>
      <w:r w:rsidR="00C820BB">
        <w:t>”</w:t>
      </w:r>
      <w:r w:rsidRPr="004913EF">
        <w:t xml:space="preserve"> and hence </w:t>
      </w:r>
      <w:r>
        <w:t>NPUSCH Format 2</w:t>
      </w:r>
      <w:r w:rsidRPr="004913EF">
        <w:t xml:space="preserve"> </w:t>
      </w:r>
      <w:r w:rsidR="00C820BB" w:rsidRPr="004913EF">
        <w:t>must</w:t>
      </w:r>
      <w:r w:rsidRPr="004913EF">
        <w:t xml:space="preserve"> be transmitted, then by default </w:t>
      </w:r>
      <w:r w:rsidR="00C820BB">
        <w:t>an “</w:t>
      </w:r>
      <w:r w:rsidRPr="004913EF">
        <w:t>ACK</w:t>
      </w:r>
      <w:r w:rsidR="00C820BB">
        <w:t>”</w:t>
      </w:r>
      <w:r w:rsidRPr="004913EF">
        <w:t xml:space="preserve"> </w:t>
      </w:r>
      <w:r w:rsidR="00C820BB">
        <w:t>is</w:t>
      </w:r>
      <w:r w:rsidRPr="004913EF">
        <w:t xml:space="preserve"> generated for </w:t>
      </w:r>
      <w:r>
        <w:t xml:space="preserve">the </w:t>
      </w:r>
      <w:r w:rsidRPr="004913EF">
        <w:t>HARQ processes</w:t>
      </w:r>
      <w:r w:rsidR="00C820BB">
        <w:t xml:space="preserve"> with “</w:t>
      </w:r>
      <w:r w:rsidR="00C820BB" w:rsidRPr="004913EF">
        <w:t xml:space="preserve">HARQ feedback </w:t>
      </w:r>
      <w:r w:rsidR="00C820BB">
        <w:t>dis</w:t>
      </w:r>
      <w:r w:rsidR="00C820BB" w:rsidRPr="004913EF">
        <w:t>abled</w:t>
      </w:r>
      <w:r w:rsidR="00C820BB">
        <w:t>”</w:t>
      </w:r>
      <w:r w:rsidRPr="004913EF">
        <w:t xml:space="preserve">, and the legacy procedure </w:t>
      </w:r>
      <w:r w:rsidR="00EB38CC">
        <w:t xml:space="preserve">to transmit NPUSCH Format 2 </w:t>
      </w:r>
      <w:r w:rsidRPr="004913EF">
        <w:t>is followed for all HARQ processes</w:t>
      </w:r>
      <w:r w:rsidR="00C820BB">
        <w:t>.</w:t>
      </w:r>
      <w:bookmarkEnd w:id="41"/>
    </w:p>
    <w:p w14:paraId="2C9203B3" w14:textId="0E8F5661" w:rsidR="00EB38CC" w:rsidRDefault="004913EF" w:rsidP="004913EF">
      <w:pPr>
        <w:pStyle w:val="Proposal"/>
        <w:numPr>
          <w:ilvl w:val="0"/>
          <w:numId w:val="28"/>
        </w:numPr>
      </w:pPr>
      <w:bookmarkStart w:id="42" w:name="_Toc115380716"/>
      <w:r>
        <w:t>Alt-2</w:t>
      </w:r>
      <w:r w:rsidR="00C820BB">
        <w:t xml:space="preserve">: If among the two </w:t>
      </w:r>
      <w:r w:rsidR="00C820BB" w:rsidRPr="004913EF">
        <w:t>HARQ process</w:t>
      </w:r>
      <w:r w:rsidR="00C820BB">
        <w:t xml:space="preserve"> in use</w:t>
      </w:r>
      <w:r w:rsidR="00C820BB" w:rsidRPr="004913EF">
        <w:t xml:space="preserve"> </w:t>
      </w:r>
      <w:r w:rsidR="00C820BB">
        <w:t xml:space="preserve">one of them </w:t>
      </w:r>
      <w:r w:rsidR="00C820BB" w:rsidRPr="004913EF">
        <w:t xml:space="preserve">has been required to have </w:t>
      </w:r>
      <w:r w:rsidR="00C820BB">
        <w:t>“</w:t>
      </w:r>
      <w:r w:rsidR="00C820BB" w:rsidRPr="004913EF">
        <w:t>HARQ feedback enabled</w:t>
      </w:r>
      <w:r w:rsidR="00C820BB">
        <w:t>”</w:t>
      </w:r>
      <w:r w:rsidR="00C820BB" w:rsidRPr="004913EF">
        <w:t xml:space="preserve"> and hence </w:t>
      </w:r>
      <w:r w:rsidR="00C820BB">
        <w:t>NPUSCH Format 2</w:t>
      </w:r>
      <w:r w:rsidR="00C820BB" w:rsidRPr="004913EF">
        <w:t xml:space="preserve"> must be transmitted,</w:t>
      </w:r>
      <w:r w:rsidR="00E44B9D">
        <w:t xml:space="preserve"> to keep the “disabling approach</w:t>
      </w:r>
      <w:r w:rsidR="0050463E">
        <w:t>”</w:t>
      </w:r>
      <w:r w:rsidR="00E44B9D">
        <w:t xml:space="preserve"> for </w:t>
      </w:r>
      <w:r w:rsidR="006470DC">
        <w:t>the “</w:t>
      </w:r>
      <w:r w:rsidR="00E44B9D">
        <w:t>HARQ process</w:t>
      </w:r>
      <w:r w:rsidR="006470DC">
        <w:t xml:space="preserve"> with disabled feedback</w:t>
      </w:r>
      <w:r w:rsidR="00E44B9D">
        <w:t>”</w:t>
      </w:r>
      <w:r w:rsidR="00C820BB">
        <w:t xml:space="preserve"> </w:t>
      </w:r>
      <w:r w:rsidR="00B73D69">
        <w:t xml:space="preserve">(i.e., without incurring in an Rx/Tx issue) </w:t>
      </w:r>
      <w:r w:rsidR="00C820BB">
        <w:t>the</w:t>
      </w:r>
      <w:r w:rsidR="00EB38CC">
        <w:t>n:</w:t>
      </w:r>
      <w:bookmarkEnd w:id="42"/>
    </w:p>
    <w:p w14:paraId="2FB297EA" w14:textId="62E4F0CE" w:rsidR="004913EF" w:rsidRDefault="00EB38CC" w:rsidP="00EB38CC">
      <w:pPr>
        <w:pStyle w:val="Proposal"/>
        <w:numPr>
          <w:ilvl w:val="1"/>
          <w:numId w:val="28"/>
        </w:numPr>
      </w:pPr>
      <w:bookmarkStart w:id="43" w:name="_Toc115380717"/>
      <w:r>
        <w:t xml:space="preserve">To the </w:t>
      </w:r>
      <w:r w:rsidR="00C820BB" w:rsidRPr="00C820BB">
        <w:t>12ms “</w:t>
      </w:r>
      <w:r w:rsidR="00C820BB" w:rsidRPr="00C820BB">
        <w:rPr>
          <w:i/>
          <w:iCs/>
        </w:rPr>
        <w:t>from the end of reception of the last NPDSCH</w:t>
      </w:r>
      <w:r w:rsidR="00C820BB" w:rsidRPr="00C820BB">
        <w:t>”</w:t>
      </w:r>
      <w:r>
        <w:t xml:space="preserve"> we add the legacy variable that accounts for </w:t>
      </w:r>
      <w:r w:rsidR="006470DC">
        <w:t xml:space="preserve">NPUSCH Format 2 </w:t>
      </w:r>
      <w:r>
        <w:t>repetitions</w:t>
      </w:r>
      <w:r w:rsidR="006470DC">
        <w:t xml:space="preserve"> </w:t>
      </w:r>
      <w:r w:rsidR="00634D3C" w:rsidRPr="00634D3C">
        <w:t xml:space="preserve">and the RU length that depends on the configured </w:t>
      </w:r>
      <w:r w:rsidR="00634D3C">
        <w:t>SCS,</w:t>
      </w:r>
      <w:r w:rsidR="00634D3C" w:rsidRPr="00634D3C">
        <w:t xml:space="preserve"> </w:t>
      </w:r>
      <w:r w:rsidR="00577A62">
        <w:t xml:space="preserve">plus </w:t>
      </w:r>
      <w:r>
        <w:t xml:space="preserve">1ms for UL-to-DL switching. That is: </w:t>
      </w:r>
      <w:r w:rsidR="006A423E">
        <w:t>“</w:t>
      </w:r>
      <w:r>
        <w:t>Y = 12</w:t>
      </w:r>
      <w:r w:rsidR="0050463E">
        <w:t xml:space="preserve"> + </w:t>
      </w:r>
      <w:r w:rsidR="006470DC" w:rsidRPr="001A7C01">
        <w:rPr>
          <w:position w:val="-14"/>
        </w:rPr>
        <w:object w:dxaOrig="460" w:dyaOrig="380" w14:anchorId="5789D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1" o:title=""/>
          </v:shape>
          <o:OLEObject Type="Embed" ProgID="Equation.3" ShapeID="_x0000_i1025" DrawAspect="Content" ObjectID="_1726037978" r:id="rId12"/>
        </w:object>
      </w:r>
      <w:r w:rsidR="007A541A">
        <w:t>(RU length in ms)</w:t>
      </w:r>
      <w:r w:rsidR="0050463E">
        <w:t xml:space="preserve"> </w:t>
      </w:r>
      <w:r w:rsidR="006470DC">
        <w:t>+</w:t>
      </w:r>
      <w:r w:rsidR="0050463E">
        <w:t xml:space="preserve"> </w:t>
      </w:r>
      <w:r>
        <w:t>1</w:t>
      </w:r>
      <w:r w:rsidR="006A423E">
        <w:t xml:space="preserve">” in </w:t>
      </w:r>
      <w:r>
        <w:t>ms</w:t>
      </w:r>
      <w:r w:rsidR="00C60721">
        <w:t>.</w:t>
      </w:r>
      <w:bookmarkEnd w:id="43"/>
      <w:r w:rsidR="00E44B9D">
        <w:t xml:space="preserve"> </w:t>
      </w:r>
    </w:p>
    <w:p w14:paraId="4CF91B07" w14:textId="16545E26" w:rsidR="00D277F8" w:rsidRDefault="00D277F8" w:rsidP="00D277F8">
      <w:pPr>
        <w:pStyle w:val="Heading2"/>
      </w:pPr>
      <w:r>
        <w:t>4.</w:t>
      </w:r>
      <w:r w:rsidR="00492595">
        <w:t>2</w:t>
      </w:r>
      <w:r>
        <w:tab/>
      </w:r>
      <w:r w:rsidR="001F04E9">
        <w:t>LTE-MTC</w:t>
      </w:r>
      <w:r>
        <w:t xml:space="preserve">: </w:t>
      </w:r>
      <w:r w:rsidRPr="00DA0F44">
        <w:rPr>
          <w:rFonts w:ascii="Times New Roman" w:hAnsi="Times New Roman"/>
          <w:i/>
          <w:iCs/>
        </w:rPr>
        <w:t xml:space="preserve">how to </w:t>
      </w:r>
      <w:r>
        <w:rPr>
          <w:rFonts w:ascii="Times New Roman" w:hAnsi="Times New Roman"/>
          <w:i/>
          <w:iCs/>
        </w:rPr>
        <w:t xml:space="preserve">handle a scenario </w:t>
      </w:r>
      <w:r w:rsidRPr="00D277F8">
        <w:rPr>
          <w:rFonts w:ascii="Times New Roman" w:hAnsi="Times New Roman"/>
          <w:i/>
          <w:iCs/>
        </w:rPr>
        <w:t xml:space="preserve">where “HARQ feedback” is enabled for some HARQ processes and disabled for </w:t>
      </w:r>
      <w:r w:rsidR="00B25C9D">
        <w:rPr>
          <w:rFonts w:ascii="Times New Roman" w:hAnsi="Times New Roman"/>
          <w:i/>
          <w:iCs/>
        </w:rPr>
        <w:t xml:space="preserve">the </w:t>
      </w:r>
      <w:r w:rsidR="00B25C9D" w:rsidRPr="00D277F8">
        <w:rPr>
          <w:rFonts w:ascii="Times New Roman" w:hAnsi="Times New Roman"/>
          <w:i/>
          <w:iCs/>
        </w:rPr>
        <w:t>other</w:t>
      </w:r>
      <w:r w:rsidR="00B25C9D">
        <w:rPr>
          <w:rFonts w:ascii="Times New Roman" w:hAnsi="Times New Roman"/>
          <w:i/>
          <w:iCs/>
        </w:rPr>
        <w:t xml:space="preserve"> ones</w:t>
      </w:r>
      <w:r>
        <w:t>.</w:t>
      </w:r>
    </w:p>
    <w:p w14:paraId="04BD385F" w14:textId="50EA07A7" w:rsidR="00B003C1" w:rsidRDefault="00085E3C" w:rsidP="00085E3C">
      <w:pPr>
        <w:jc w:val="both"/>
      </w:pPr>
      <w:r>
        <w:t xml:space="preserve">When “Disabling of HARQ feedback” is in place, PUCCH is not transmitted and instead </w:t>
      </w:r>
      <w:r w:rsidRPr="00225641">
        <w:t xml:space="preserve">the subsequent PDCCH scheduling data </w:t>
      </w:r>
      <w:r>
        <w:t xml:space="preserve">is expected to be received </w:t>
      </w:r>
      <w:r w:rsidRPr="00225641">
        <w:t>as soon as DL monitoring is allowed</w:t>
      </w:r>
      <w:r>
        <w:t xml:space="preserve">. However, when there is more than one HARQ process in use, one or more of them may have </w:t>
      </w:r>
      <w:r w:rsidR="00066F44">
        <w:t>their</w:t>
      </w:r>
      <w:r>
        <w:t xml:space="preserve"> “HARQ feedback enabled” whereas some other ones may have their “HARQ feedback disabled”. Below in section 4.2.1, we analyse </w:t>
      </w:r>
      <w:r w:rsidR="00B003C1">
        <w:t xml:space="preserve">the case where </w:t>
      </w:r>
      <w:r w:rsidR="00A55F1A">
        <w:t xml:space="preserve">three out of ten </w:t>
      </w:r>
      <w:r w:rsidR="00B003C1">
        <w:t>HARQ processes</w:t>
      </w:r>
      <w:r>
        <w:t xml:space="preserve"> in use ha</w:t>
      </w:r>
      <w:r w:rsidR="00A55F1A">
        <w:t>ve</w:t>
      </w:r>
      <w:r>
        <w:t xml:space="preserve"> </w:t>
      </w:r>
      <w:r w:rsidR="00A55F1A">
        <w:t>their</w:t>
      </w:r>
      <w:r>
        <w:t xml:space="preserve"> “HARQ feedback</w:t>
      </w:r>
      <w:r w:rsidR="00B003C1">
        <w:t xml:space="preserve"> enabled</w:t>
      </w:r>
      <w:r>
        <w:t xml:space="preserve">” </w:t>
      </w:r>
      <w:r w:rsidR="00B003C1">
        <w:t>whereas all other HARQ processes have their “HARQ feedback disabled”.</w:t>
      </w:r>
    </w:p>
    <w:p w14:paraId="3F008542" w14:textId="3BA37EFF" w:rsidR="00A24B8B" w:rsidRDefault="00A24B8B" w:rsidP="00A24B8B">
      <w:pPr>
        <w:pStyle w:val="Heading3"/>
      </w:pPr>
      <w:bookmarkStart w:id="44" w:name="_4.2.1_“HARQ_feedback”"/>
      <w:bookmarkEnd w:id="44"/>
      <w:r>
        <w:lastRenderedPageBreak/>
        <w:t>4.2.1</w:t>
      </w:r>
      <w:r>
        <w:tab/>
        <w:t>“HARQ feedback” is enabled for the 1</w:t>
      </w:r>
      <w:r w:rsidRPr="003B154E">
        <w:rPr>
          <w:vertAlign w:val="superscript"/>
        </w:rPr>
        <w:t>st</w:t>
      </w:r>
      <w:r w:rsidR="006F615D">
        <w:t xml:space="preserve">, </w:t>
      </w:r>
      <w:r w:rsidR="00670AA3">
        <w:t>2</w:t>
      </w:r>
      <w:r w:rsidR="00670AA3" w:rsidRPr="00670AA3">
        <w:rPr>
          <w:vertAlign w:val="superscript"/>
        </w:rPr>
        <w:t>nd</w:t>
      </w:r>
      <w:r w:rsidR="00A55F1A">
        <w:t xml:space="preserve">, </w:t>
      </w:r>
      <w:r w:rsidR="006F615D">
        <w:t>and 3</w:t>
      </w:r>
      <w:r w:rsidR="006F615D" w:rsidRPr="006F615D">
        <w:rPr>
          <w:vertAlign w:val="superscript"/>
        </w:rPr>
        <w:t>rd</w:t>
      </w:r>
      <w:r w:rsidR="006F615D">
        <w:t xml:space="preserve"> </w:t>
      </w:r>
      <w:r>
        <w:t xml:space="preserve">HARQ processes and disabled for the other </w:t>
      </w:r>
      <w:r w:rsidR="0084526D">
        <w:t>7</w:t>
      </w:r>
      <w:r>
        <w:t xml:space="preserve"> HARQ processes in use</w:t>
      </w:r>
    </w:p>
    <w:p w14:paraId="4B199526" w14:textId="1B2C05E1" w:rsidR="00E82BB3" w:rsidRDefault="00E82BB3" w:rsidP="00E82BB3">
      <w:pPr>
        <w:overflowPunct/>
        <w:autoSpaceDE/>
        <w:autoSpaceDN/>
        <w:adjustRightInd/>
        <w:spacing w:after="0"/>
        <w:jc w:val="both"/>
        <w:textAlignment w:val="auto"/>
      </w:pPr>
      <w:r>
        <w:t>In a</w:t>
      </w:r>
      <w:r w:rsidR="00670AA3">
        <w:t>n</w:t>
      </w:r>
      <w:r>
        <w:t xml:space="preserve"> LTE-MTC scenario with Ten HARQ processes using “Option 2” (i.e., “</w:t>
      </w:r>
      <w:r w:rsidRPr="00632C88">
        <w:rPr>
          <w:sz w:val="16"/>
          <w:szCs w:val="16"/>
          <w:lang w:val="en-US" w:eastAsia="x-none"/>
        </w:rPr>
        <w:t xml:space="preserve">Option 2: UE is not required to monitor PDCCH in a period of Y(ms) from the end of reception of the last </w:t>
      </w:r>
      <w:r>
        <w:rPr>
          <w:sz w:val="16"/>
          <w:szCs w:val="16"/>
          <w:lang w:val="en-US" w:eastAsia="x-none"/>
        </w:rPr>
        <w:t>N</w:t>
      </w:r>
      <w:r w:rsidRPr="00632C88">
        <w:rPr>
          <w:sz w:val="16"/>
          <w:szCs w:val="16"/>
          <w:lang w:val="en-US" w:eastAsia="x-none"/>
        </w:rPr>
        <w:t>PDSCH</w:t>
      </w:r>
      <w:r>
        <w:rPr>
          <w:sz w:val="16"/>
          <w:szCs w:val="16"/>
          <w:lang w:val="en-US" w:eastAsia="x-none"/>
        </w:rPr>
        <w:t xml:space="preserve">, </w:t>
      </w:r>
      <w:r w:rsidRPr="00632C88">
        <w:rPr>
          <w:sz w:val="16"/>
          <w:szCs w:val="16"/>
          <w:lang w:val="en-US" w:eastAsia="x-none"/>
        </w:rPr>
        <w:t>Y=</w:t>
      </w:r>
      <w:r>
        <w:rPr>
          <w:sz w:val="16"/>
          <w:szCs w:val="16"/>
          <w:lang w:val="en-US" w:eastAsia="x-none"/>
        </w:rPr>
        <w:t xml:space="preserve"> 3</w:t>
      </w:r>
      <w:r>
        <w:t xml:space="preserve">”), we analyse the case where the </w:t>
      </w:r>
      <w:r w:rsidRPr="00191801">
        <w:t xml:space="preserve">“HARQ feedback” is </w:t>
      </w:r>
      <w:r>
        <w:t>dis</w:t>
      </w:r>
      <w:r w:rsidRPr="00191801">
        <w:t>abled for the 1</w:t>
      </w:r>
      <w:r w:rsidRPr="000C0E57">
        <w:rPr>
          <w:vertAlign w:val="superscript"/>
        </w:rPr>
        <w:t>st</w:t>
      </w:r>
      <w:r w:rsidR="006F615D">
        <w:t>, 2</w:t>
      </w:r>
      <w:r w:rsidR="006F615D" w:rsidRPr="006F615D">
        <w:rPr>
          <w:vertAlign w:val="superscript"/>
        </w:rPr>
        <w:t>nd</w:t>
      </w:r>
      <w:r w:rsidR="006F615D">
        <w:t xml:space="preserve">, </w:t>
      </w:r>
      <w:r w:rsidR="005950B2">
        <w:t xml:space="preserve">and </w:t>
      </w:r>
      <w:r w:rsidR="006F615D">
        <w:t>3</w:t>
      </w:r>
      <w:r w:rsidR="006F615D">
        <w:rPr>
          <w:vertAlign w:val="superscript"/>
        </w:rPr>
        <w:t>r</w:t>
      </w:r>
      <w:r w:rsidR="005950B2" w:rsidRPr="005950B2">
        <w:rPr>
          <w:vertAlign w:val="superscript"/>
        </w:rPr>
        <w:t>d</w:t>
      </w:r>
      <w:r w:rsidR="005950B2">
        <w:t xml:space="preserve"> </w:t>
      </w:r>
      <w:r w:rsidRPr="00191801">
        <w:t xml:space="preserve">HARQ processes and </w:t>
      </w:r>
      <w:r>
        <w:t>enabled</w:t>
      </w:r>
      <w:r w:rsidRPr="00191801">
        <w:t xml:space="preserve"> for the</w:t>
      </w:r>
      <w:r>
        <w:t xml:space="preserve"> other </w:t>
      </w:r>
      <w:r w:rsidR="0084526D">
        <w:t>7</w:t>
      </w:r>
      <w:r w:rsidRPr="00191801">
        <w:t xml:space="preserve"> HARQ processes</w:t>
      </w:r>
      <w:r>
        <w:t>.</w:t>
      </w:r>
    </w:p>
    <w:p w14:paraId="2F7BA06F" w14:textId="77777777" w:rsidR="00E82BB3" w:rsidRPr="000C0E57" w:rsidRDefault="00E82BB3" w:rsidP="00E82BB3">
      <w:pPr>
        <w:overflowPunct/>
        <w:autoSpaceDE/>
        <w:autoSpaceDN/>
        <w:adjustRightInd/>
        <w:spacing w:after="0"/>
        <w:jc w:val="both"/>
        <w:textAlignment w:val="auto"/>
        <w:rPr>
          <w:sz w:val="16"/>
          <w:szCs w:val="16"/>
          <w:lang w:val="en-US" w:eastAsia="x-none"/>
        </w:rPr>
      </w:pPr>
    </w:p>
    <w:p w14:paraId="116B7E85" w14:textId="4A21D792" w:rsidR="00E82BB3" w:rsidRPr="003A5C83" w:rsidRDefault="00E82BB3" w:rsidP="00E82BB3">
      <w:pPr>
        <w:keepNext/>
        <w:keepLines/>
        <w:spacing w:before="120" w:after="0"/>
        <w:jc w:val="center"/>
        <w:rPr>
          <w:bCs/>
          <w:sz w:val="16"/>
          <w:szCs w:val="16"/>
        </w:rPr>
      </w:pPr>
      <w:r w:rsidRPr="003A5C83">
        <w:rPr>
          <w:bCs/>
          <w:sz w:val="16"/>
          <w:szCs w:val="16"/>
        </w:rPr>
        <w:t xml:space="preserve">Table </w:t>
      </w:r>
      <w:r w:rsidR="008D4681">
        <w:rPr>
          <w:bCs/>
          <w:sz w:val="16"/>
          <w:szCs w:val="16"/>
        </w:rPr>
        <w:t>6</w:t>
      </w:r>
      <w:r w:rsidRPr="003A5C83">
        <w:rPr>
          <w:bCs/>
          <w:sz w:val="16"/>
          <w:szCs w:val="16"/>
        </w:rPr>
        <w:t xml:space="preserve">: 10 HARQ processes </w:t>
      </w:r>
      <w:r w:rsidR="0084526D">
        <w:rPr>
          <w:bCs/>
          <w:sz w:val="16"/>
          <w:szCs w:val="16"/>
        </w:rPr>
        <w:t xml:space="preserve">where </w:t>
      </w:r>
      <w:r w:rsidR="0084526D" w:rsidRPr="0084526D">
        <w:rPr>
          <w:bCs/>
          <w:sz w:val="16"/>
          <w:szCs w:val="16"/>
        </w:rPr>
        <w:t>“HARQ feedback” is enabled for the 1</w:t>
      </w:r>
      <w:r w:rsidR="0084526D" w:rsidRPr="008D4681">
        <w:rPr>
          <w:bCs/>
          <w:sz w:val="16"/>
          <w:szCs w:val="16"/>
          <w:vertAlign w:val="superscript"/>
        </w:rPr>
        <w:t>st</w:t>
      </w:r>
      <w:r w:rsidR="0084526D" w:rsidRPr="0084526D">
        <w:rPr>
          <w:bCs/>
          <w:sz w:val="16"/>
          <w:szCs w:val="16"/>
        </w:rPr>
        <w:t>, 2</w:t>
      </w:r>
      <w:r w:rsidR="0084526D" w:rsidRPr="008D4681">
        <w:rPr>
          <w:bCs/>
          <w:sz w:val="16"/>
          <w:szCs w:val="16"/>
          <w:vertAlign w:val="superscript"/>
        </w:rPr>
        <w:t>nd</w:t>
      </w:r>
      <w:r w:rsidR="008D4681">
        <w:rPr>
          <w:bCs/>
          <w:sz w:val="16"/>
          <w:szCs w:val="16"/>
        </w:rPr>
        <w:t>,</w:t>
      </w:r>
      <w:r w:rsidR="0084526D" w:rsidRPr="0084526D">
        <w:rPr>
          <w:bCs/>
          <w:sz w:val="16"/>
          <w:szCs w:val="16"/>
        </w:rPr>
        <w:t xml:space="preserve"> and 3</w:t>
      </w:r>
      <w:r w:rsidR="0084526D" w:rsidRPr="008D4681">
        <w:rPr>
          <w:bCs/>
          <w:sz w:val="16"/>
          <w:szCs w:val="16"/>
          <w:vertAlign w:val="superscript"/>
        </w:rPr>
        <w:t>rd</w:t>
      </w:r>
      <w:r w:rsidR="0084526D" w:rsidRPr="0084526D">
        <w:rPr>
          <w:bCs/>
          <w:sz w:val="16"/>
          <w:szCs w:val="16"/>
        </w:rPr>
        <w:t xml:space="preserve"> HARQ processes and disabled for the other </w:t>
      </w:r>
      <w:r w:rsidR="0084526D">
        <w:rPr>
          <w:bCs/>
          <w:sz w:val="16"/>
          <w:szCs w:val="16"/>
        </w:rPr>
        <w:t>7</w:t>
      </w:r>
      <w:r w:rsidR="0084526D" w:rsidRPr="0084526D">
        <w:rPr>
          <w:bCs/>
          <w:sz w:val="16"/>
          <w:szCs w:val="16"/>
        </w:rPr>
        <w:t xml:space="preserve"> HARQ processes</w:t>
      </w:r>
      <w:r w:rsidRPr="003A5C83">
        <w:rPr>
          <w:bCs/>
          <w:sz w:val="16"/>
          <w:szCs w:val="16"/>
        </w:rPr>
        <w:t xml:space="preserve"> for a Cat-M1 HD-FDD UE for NTN</w:t>
      </w:r>
      <w:r>
        <w:rPr>
          <w:bCs/>
          <w:sz w:val="16"/>
          <w:szCs w:val="16"/>
        </w:rPr>
        <w:t>.</w:t>
      </w:r>
    </w:p>
    <w:tbl>
      <w:tblPr>
        <w:tblW w:w="0" w:type="auto"/>
        <w:tblInd w:w="-118" w:type="dxa"/>
        <w:tblLayout w:type="fixed"/>
        <w:tblCellMar>
          <w:left w:w="0" w:type="dxa"/>
          <w:right w:w="0" w:type="dxa"/>
        </w:tblCellMar>
        <w:tblLook w:val="04A0" w:firstRow="1" w:lastRow="0" w:firstColumn="1" w:lastColumn="0" w:noHBand="0" w:noVBand="1"/>
      </w:tblPr>
      <w:tblGrid>
        <w:gridCol w:w="675"/>
        <w:gridCol w:w="1975"/>
        <w:gridCol w:w="425"/>
        <w:gridCol w:w="425"/>
        <w:gridCol w:w="395"/>
        <w:gridCol w:w="30"/>
        <w:gridCol w:w="306"/>
        <w:gridCol w:w="59"/>
        <w:gridCol w:w="277"/>
        <w:gridCol w:w="277"/>
        <w:gridCol w:w="277"/>
        <w:gridCol w:w="277"/>
        <w:gridCol w:w="277"/>
        <w:gridCol w:w="277"/>
        <w:gridCol w:w="338"/>
        <w:gridCol w:w="338"/>
        <w:gridCol w:w="338"/>
        <w:gridCol w:w="345"/>
        <w:gridCol w:w="379"/>
        <w:gridCol w:w="379"/>
        <w:gridCol w:w="444"/>
        <w:gridCol w:w="384"/>
        <w:gridCol w:w="425"/>
        <w:gridCol w:w="415"/>
      </w:tblGrid>
      <w:tr w:rsidR="00E82BB3" w:rsidRPr="0047424F" w14:paraId="65F37149" w14:textId="77777777" w:rsidTr="00704657">
        <w:tc>
          <w:tcPr>
            <w:tcW w:w="265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17068" w14:textId="4CB183AA" w:rsidR="00E82BB3" w:rsidRDefault="00E82BB3" w:rsidP="00704657">
            <w:pPr>
              <w:rPr>
                <w:rStyle w:val="IvDbodytextChar"/>
                <w:i/>
              </w:rPr>
            </w:pPr>
            <w:r>
              <w:rPr>
                <w:rFonts w:asciiTheme="minorHAnsi" w:hAnsiTheme="minorHAnsi" w:cstheme="minorHAnsi"/>
                <w:sz w:val="12"/>
                <w:szCs w:val="12"/>
                <w:lang w:eastAsia="en-GB"/>
              </w:rPr>
              <w:t xml:space="preserve">Earliest DL Reception of the subsequent HARQ Processes </w:t>
            </w:r>
            <w:r w:rsidR="005950B2">
              <w:rPr>
                <w:rFonts w:asciiTheme="minorHAnsi" w:hAnsiTheme="minorHAnsi" w:cstheme="minorHAnsi"/>
                <w:sz w:val="12"/>
                <w:szCs w:val="12"/>
                <w:lang w:eastAsia="en-GB"/>
              </w:rPr>
              <w:t xml:space="preserve">#2 </w:t>
            </w:r>
            <w:r>
              <w:rPr>
                <w:rFonts w:asciiTheme="minorHAnsi" w:hAnsiTheme="minorHAnsi" w:cstheme="minorHAnsi"/>
                <w:sz w:val="12"/>
                <w:szCs w:val="12"/>
                <w:lang w:eastAsia="en-GB"/>
              </w:rPr>
              <w:t>as per “Option 2” applied to LTE-MTC</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A2398B" w14:textId="77777777" w:rsidR="00E82BB3" w:rsidRPr="0047424F" w:rsidRDefault="00E82BB3" w:rsidP="00704657">
            <w:pPr>
              <w:rPr>
                <w:rFonts w:ascii="Calibri" w:eastAsia="Calibri" w:hAnsi="Calibri" w:cs="Calibri"/>
                <w:sz w:val="12"/>
                <w:szCs w:val="12"/>
                <w:lang w:val="sv-SE"/>
              </w:rPr>
            </w:pP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867BB0" w14:textId="77777777" w:rsidR="00E82BB3" w:rsidRPr="0047424F" w:rsidRDefault="00E82BB3" w:rsidP="00704657">
            <w:pPr>
              <w:rPr>
                <w:rFonts w:ascii="Calibri" w:eastAsia="Calibri" w:hAnsi="Calibri" w:cs="Calibri"/>
                <w:sz w:val="12"/>
                <w:szCs w:val="12"/>
                <w:lang w:val="sv-SE"/>
              </w:rPr>
            </w:pPr>
          </w:p>
        </w:tc>
        <w:tc>
          <w:tcPr>
            <w:tcW w:w="42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E43E1E1" w14:textId="77777777" w:rsidR="00E82BB3" w:rsidRPr="0047424F" w:rsidRDefault="00E82BB3" w:rsidP="00704657">
            <w:pPr>
              <w:rPr>
                <w:rFonts w:ascii="Calibri" w:eastAsia="Calibri" w:hAnsi="Calibri" w:cs="Calibri"/>
                <w:sz w:val="12"/>
                <w:szCs w:val="12"/>
                <w:lang w:val="sv-SE"/>
              </w:rPr>
            </w:pPr>
          </w:p>
        </w:tc>
        <w:tc>
          <w:tcPr>
            <w:tcW w:w="36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D3D77DD" w14:textId="77777777" w:rsidR="00E82BB3" w:rsidRPr="0047424F" w:rsidRDefault="00E82BB3"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2C2E53" w14:textId="77777777" w:rsidR="00E82BB3" w:rsidRPr="0047424F" w:rsidRDefault="00E82BB3"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FA2C94" w14:textId="77777777" w:rsidR="00E82BB3" w:rsidRPr="0047424F" w:rsidRDefault="00E82BB3"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8CD826" w14:textId="77777777" w:rsidR="00E82BB3" w:rsidRPr="0047424F" w:rsidRDefault="00E82BB3"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4CEDFE" w14:textId="77777777" w:rsidR="00E82BB3" w:rsidRPr="0047424F" w:rsidRDefault="00E82BB3"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52E7FD" w14:textId="77777777" w:rsidR="00E82BB3" w:rsidRPr="0047424F" w:rsidRDefault="00E82BB3" w:rsidP="00704657">
            <w:pPr>
              <w:rPr>
                <w:rFonts w:ascii="Calibri" w:eastAsia="Calibri" w:hAnsi="Calibri" w:cs="Calibri"/>
                <w:sz w:val="12"/>
                <w:szCs w:val="12"/>
                <w:lang w:val="sv-SE"/>
              </w:rPr>
            </w:pP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9AB006" w14:textId="77777777" w:rsidR="00E82BB3" w:rsidRPr="0047424F" w:rsidRDefault="00E82BB3" w:rsidP="00704657">
            <w:pPr>
              <w:rPr>
                <w:rFonts w:ascii="Calibri" w:eastAsia="Calibri" w:hAnsi="Calibri" w:cs="Calibri"/>
                <w:sz w:val="12"/>
                <w:szCs w:val="12"/>
                <w:lang w:val="sv-SE"/>
              </w:rPr>
            </w:pP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5FAB39" w14:textId="77777777" w:rsidR="00E82BB3" w:rsidRPr="0047424F" w:rsidRDefault="00E82BB3" w:rsidP="00704657">
            <w:pPr>
              <w:rPr>
                <w:rFonts w:ascii="Calibri" w:eastAsia="Calibri" w:hAnsi="Calibri" w:cs="Calibri"/>
                <w:sz w:val="12"/>
                <w:szCs w:val="12"/>
                <w:lang w:val="sv-SE"/>
              </w:rPr>
            </w:pP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889C5" w14:textId="77777777" w:rsidR="00E82BB3" w:rsidRPr="0047424F" w:rsidRDefault="00E82BB3" w:rsidP="00704657">
            <w:pPr>
              <w:rPr>
                <w:rFonts w:ascii="Calibri" w:eastAsia="Calibri" w:hAnsi="Calibri" w:cs="Calibri"/>
                <w:sz w:val="12"/>
                <w:szCs w:val="12"/>
                <w:lang w:val="sv-SE"/>
              </w:rPr>
            </w:pP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09F8CD" w14:textId="77777777" w:rsidR="00E82BB3" w:rsidRPr="0047424F" w:rsidRDefault="00E82BB3" w:rsidP="00704657">
            <w:pPr>
              <w:rPr>
                <w:rFonts w:ascii="Calibri" w:eastAsia="Calibri" w:hAnsi="Calibri" w:cs="Calibri"/>
                <w:sz w:val="12"/>
                <w:szCs w:val="12"/>
                <w:lang w:val="sv-SE"/>
              </w:rPr>
            </w:pP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9A86B9" w14:textId="77777777" w:rsidR="00E82BB3" w:rsidRPr="0047424F" w:rsidRDefault="00E82BB3" w:rsidP="00704657">
            <w:pPr>
              <w:rPr>
                <w:rFonts w:ascii="Calibri" w:eastAsia="Calibri" w:hAnsi="Calibri" w:cs="Calibri"/>
                <w:sz w:val="12"/>
                <w:szCs w:val="12"/>
                <w:lang w:val="sv-SE"/>
              </w:rPr>
            </w:pPr>
          </w:p>
        </w:tc>
        <w:tc>
          <w:tcPr>
            <w:tcW w:w="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2F3C89" w14:textId="77777777" w:rsidR="00E82BB3" w:rsidRPr="0047424F" w:rsidRDefault="00E82BB3" w:rsidP="00704657">
            <w:pPr>
              <w:rPr>
                <w:rFonts w:ascii="Calibri" w:eastAsia="Calibri" w:hAnsi="Calibri" w:cs="Calibri"/>
                <w:sz w:val="12"/>
                <w:szCs w:val="12"/>
                <w:lang w:val="sv-SE"/>
              </w:rPr>
            </w:pPr>
          </w:p>
        </w:tc>
        <w:tc>
          <w:tcPr>
            <w:tcW w:w="37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B320AD8" w14:textId="77777777" w:rsidR="00E82BB3" w:rsidRPr="0047424F" w:rsidRDefault="00E82BB3"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44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D6C75B" w14:textId="77777777" w:rsidR="00E82BB3" w:rsidRPr="0047424F" w:rsidRDefault="00E82BB3"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3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AA9B17" w14:textId="77777777" w:rsidR="00E82BB3" w:rsidRPr="0047424F" w:rsidRDefault="00E82BB3"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0CA191" w14:textId="77777777" w:rsidR="00E82BB3" w:rsidRPr="0047424F" w:rsidRDefault="00E82BB3" w:rsidP="00704657">
            <w:pPr>
              <w:rPr>
                <w:rFonts w:ascii="Calibri" w:eastAsia="Calibri" w:hAnsi="Calibri" w:cs="Calibri"/>
                <w:sz w:val="12"/>
                <w:szCs w:val="12"/>
                <w:lang w:val="sv-SE"/>
              </w:rPr>
            </w:pPr>
            <w:r>
              <w:rPr>
                <w:rFonts w:asciiTheme="minorHAnsi" w:hAnsiTheme="minorHAnsi" w:cstheme="minorHAnsi"/>
                <w:sz w:val="11"/>
                <w:szCs w:val="11"/>
                <w:lang w:eastAsia="en-GB"/>
              </w:rPr>
              <w:t>↓</w:t>
            </w:r>
          </w:p>
        </w:tc>
        <w:tc>
          <w:tcPr>
            <w:tcW w:w="415" w:type="dxa"/>
            <w:vMerge w:val="restart"/>
            <w:tcBorders>
              <w:top w:val="single" w:sz="8" w:space="0" w:color="auto"/>
              <w:left w:val="nil"/>
              <w:right w:val="single" w:sz="8" w:space="0" w:color="auto"/>
            </w:tcBorders>
          </w:tcPr>
          <w:p w14:paraId="129EF3D9" w14:textId="77777777" w:rsidR="00E82BB3" w:rsidRDefault="00E82BB3" w:rsidP="00704657">
            <w:pPr>
              <w:jc w:val="center"/>
              <w:rPr>
                <w:rFonts w:ascii="Calibri" w:eastAsia="Calibri" w:hAnsi="Calibri" w:cs="Calibri"/>
                <w:sz w:val="12"/>
                <w:szCs w:val="12"/>
                <w:lang w:val="sv-SE"/>
              </w:rPr>
            </w:pPr>
          </w:p>
          <w:p w14:paraId="76FD79D6" w14:textId="77777777" w:rsidR="00E82BB3" w:rsidRDefault="00E82BB3" w:rsidP="00704657">
            <w:pPr>
              <w:jc w:val="center"/>
              <w:rPr>
                <w:rFonts w:ascii="Calibri" w:eastAsia="Calibri" w:hAnsi="Calibri" w:cs="Calibri"/>
                <w:sz w:val="12"/>
                <w:szCs w:val="12"/>
                <w:lang w:val="sv-SE"/>
              </w:rPr>
            </w:pPr>
          </w:p>
          <w:p w14:paraId="7537F4CF" w14:textId="77777777" w:rsidR="00E82BB3" w:rsidRDefault="00E82BB3" w:rsidP="00704657">
            <w:pPr>
              <w:jc w:val="center"/>
              <w:rPr>
                <w:rFonts w:ascii="Calibri" w:eastAsia="Calibri" w:hAnsi="Calibri" w:cs="Calibri"/>
                <w:sz w:val="12"/>
                <w:szCs w:val="12"/>
                <w:lang w:val="sv-SE"/>
              </w:rPr>
            </w:pPr>
          </w:p>
          <w:p w14:paraId="7EB7A2F4" w14:textId="77777777" w:rsidR="00E82BB3" w:rsidRPr="0047424F" w:rsidRDefault="00E82BB3" w:rsidP="00704657">
            <w:pPr>
              <w:jc w:val="center"/>
              <w:rPr>
                <w:rFonts w:ascii="Calibri" w:eastAsia="Calibri" w:hAnsi="Calibri" w:cs="Calibri"/>
                <w:sz w:val="12"/>
                <w:szCs w:val="12"/>
                <w:lang w:val="sv-SE"/>
              </w:rPr>
            </w:pPr>
            <w:r>
              <w:rPr>
                <w:rFonts w:ascii="Calibri" w:eastAsia="Calibri" w:hAnsi="Calibri" w:cs="Calibri"/>
                <w:sz w:val="12"/>
                <w:szCs w:val="12"/>
                <w:lang w:val="sv-SE"/>
              </w:rPr>
              <w:t>....</w:t>
            </w:r>
          </w:p>
        </w:tc>
      </w:tr>
      <w:tr w:rsidR="00E82BB3" w:rsidRPr="0047424F" w14:paraId="034B6807" w14:textId="77777777" w:rsidTr="00704657">
        <w:tc>
          <w:tcPr>
            <w:tcW w:w="265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DE718" w14:textId="7E8B8374"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Subrame#</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75AF0"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86D26"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42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01AFB"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36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D04C"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EC788"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3970AB"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415CE"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E556D3"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0D86F"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BBF6DC"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A3C46"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10</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727E9"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11</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317B8"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12</w:t>
            </w: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1D445"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13</w:t>
            </w:r>
          </w:p>
        </w:tc>
        <w:tc>
          <w:tcPr>
            <w:tcW w:w="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94084"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14</w:t>
            </w:r>
          </w:p>
        </w:tc>
        <w:tc>
          <w:tcPr>
            <w:tcW w:w="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D060F"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15</w:t>
            </w:r>
          </w:p>
        </w:tc>
        <w:tc>
          <w:tcPr>
            <w:tcW w:w="4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E3BE6"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16</w:t>
            </w:r>
          </w:p>
        </w:tc>
        <w:tc>
          <w:tcPr>
            <w:tcW w:w="3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CC737"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17</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34898"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18</w:t>
            </w:r>
          </w:p>
        </w:tc>
        <w:tc>
          <w:tcPr>
            <w:tcW w:w="415" w:type="dxa"/>
            <w:vMerge/>
            <w:tcBorders>
              <w:left w:val="nil"/>
              <w:right w:val="single" w:sz="8" w:space="0" w:color="auto"/>
            </w:tcBorders>
          </w:tcPr>
          <w:p w14:paraId="1634D13A" w14:textId="77777777" w:rsidR="00E82BB3" w:rsidRPr="0047424F" w:rsidRDefault="00E82BB3" w:rsidP="00704657">
            <w:pPr>
              <w:rPr>
                <w:rFonts w:ascii="Calibri" w:eastAsia="Calibri" w:hAnsi="Calibri" w:cs="Calibri"/>
                <w:sz w:val="12"/>
                <w:szCs w:val="12"/>
                <w:lang w:val="sv-SE"/>
              </w:rPr>
            </w:pPr>
          </w:p>
        </w:tc>
      </w:tr>
      <w:tr w:rsidR="00E82BB3" w:rsidRPr="0047424F" w14:paraId="195C7088" w14:textId="77777777" w:rsidTr="00704657">
        <w:tc>
          <w:tcPr>
            <w:tcW w:w="26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292BB"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MPDCCH</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552406FF"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622D472A"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42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E1010FD"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3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68A7FB"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4F011B94"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88BDCF8"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28A91EFD"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B16A45A"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2EAC05BC"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1864CCA6"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E0BBD7D" w14:textId="77777777" w:rsidR="00E82BB3" w:rsidRPr="0047424F" w:rsidRDefault="00E82BB3"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537165A9" w14:textId="77777777" w:rsidR="00E82BB3" w:rsidRPr="0047424F" w:rsidRDefault="00E82BB3"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055EAF9" w14:textId="77777777" w:rsidR="00E82BB3" w:rsidRPr="0047424F" w:rsidRDefault="00E82BB3" w:rsidP="00704657">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3B241F7C" w14:textId="77777777" w:rsidR="00E82BB3" w:rsidRPr="0047424F" w:rsidRDefault="00E82BB3"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73D8A765" w14:textId="77777777" w:rsidR="00E82BB3" w:rsidRPr="0047424F" w:rsidRDefault="00E82BB3"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599AB53E" w14:textId="77777777" w:rsidR="00E82BB3" w:rsidRPr="0047424F" w:rsidRDefault="00E82BB3" w:rsidP="00704657">
            <w:pPr>
              <w:rPr>
                <w:rFonts w:ascii="Calibri" w:eastAsia="Calibri" w:hAnsi="Calibri" w:cs="Calibri"/>
                <w:sz w:val="12"/>
                <w:szCs w:val="12"/>
                <w:lang w:val="sv-SE"/>
              </w:rPr>
            </w:pPr>
            <w:r>
              <w:rPr>
                <w:rFonts w:ascii="Calibri" w:eastAsia="Calibri" w:hAnsi="Calibri" w:cs="Calibri"/>
                <w:sz w:val="12"/>
                <w:szCs w:val="12"/>
                <w:lang w:val="sv-SE"/>
              </w:rPr>
              <w:t>0</w:t>
            </w:r>
          </w:p>
        </w:tc>
        <w:tc>
          <w:tcPr>
            <w:tcW w:w="444" w:type="dxa"/>
            <w:tcBorders>
              <w:top w:val="nil"/>
              <w:left w:val="nil"/>
              <w:bottom w:val="single" w:sz="8" w:space="0" w:color="auto"/>
              <w:right w:val="single" w:sz="8" w:space="0" w:color="auto"/>
            </w:tcBorders>
            <w:tcMar>
              <w:top w:w="0" w:type="dxa"/>
              <w:left w:w="108" w:type="dxa"/>
              <w:bottom w:w="0" w:type="dxa"/>
              <w:right w:w="108" w:type="dxa"/>
            </w:tcMar>
          </w:tcPr>
          <w:p w14:paraId="1F27E690" w14:textId="77777777" w:rsidR="00E82BB3" w:rsidRPr="0047424F" w:rsidRDefault="00E82BB3" w:rsidP="00704657">
            <w:pPr>
              <w:rPr>
                <w:rFonts w:ascii="Calibri" w:eastAsia="Calibri" w:hAnsi="Calibri" w:cs="Calibri"/>
                <w:sz w:val="12"/>
                <w:szCs w:val="12"/>
                <w:lang w:val="sv-SE"/>
              </w:rPr>
            </w:pPr>
            <w:r>
              <w:rPr>
                <w:rFonts w:ascii="Calibri" w:eastAsia="Calibri" w:hAnsi="Calibri" w:cs="Calibri"/>
                <w:sz w:val="12"/>
                <w:szCs w:val="12"/>
                <w:lang w:val="sv-SE"/>
              </w:rPr>
              <w:t>1</w:t>
            </w:r>
          </w:p>
        </w:tc>
        <w:tc>
          <w:tcPr>
            <w:tcW w:w="384" w:type="dxa"/>
            <w:tcBorders>
              <w:top w:val="nil"/>
              <w:left w:val="nil"/>
              <w:bottom w:val="single" w:sz="8" w:space="0" w:color="auto"/>
              <w:right w:val="single" w:sz="8" w:space="0" w:color="auto"/>
            </w:tcBorders>
            <w:tcMar>
              <w:top w:w="0" w:type="dxa"/>
              <w:left w:w="108" w:type="dxa"/>
              <w:bottom w:w="0" w:type="dxa"/>
              <w:right w:w="108" w:type="dxa"/>
            </w:tcMar>
          </w:tcPr>
          <w:p w14:paraId="58C4F063" w14:textId="77777777" w:rsidR="00E82BB3" w:rsidRPr="0047424F" w:rsidRDefault="00E82BB3" w:rsidP="00704657">
            <w:pPr>
              <w:rPr>
                <w:rFonts w:ascii="Calibri" w:eastAsia="Calibri" w:hAnsi="Calibri" w:cs="Calibri"/>
                <w:sz w:val="12"/>
                <w:szCs w:val="12"/>
                <w:lang w:val="sv-SE"/>
              </w:rPr>
            </w:pPr>
            <w:r>
              <w:rPr>
                <w:rFonts w:ascii="Calibri" w:eastAsia="Calibri" w:hAnsi="Calibri" w:cs="Calibri"/>
                <w:sz w:val="12"/>
                <w:szCs w:val="12"/>
                <w:lang w:val="sv-SE"/>
              </w:rPr>
              <w:t>2</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1646EA26" w14:textId="77777777" w:rsidR="00E82BB3" w:rsidRPr="0047424F" w:rsidRDefault="00E82BB3" w:rsidP="00704657">
            <w:pPr>
              <w:rPr>
                <w:rFonts w:ascii="Calibri" w:eastAsia="Calibri" w:hAnsi="Calibri" w:cs="Calibri"/>
                <w:sz w:val="12"/>
                <w:szCs w:val="12"/>
                <w:lang w:val="sv-SE"/>
              </w:rPr>
            </w:pPr>
            <w:r>
              <w:rPr>
                <w:rFonts w:ascii="Calibri" w:eastAsia="Calibri" w:hAnsi="Calibri" w:cs="Calibri"/>
                <w:sz w:val="12"/>
                <w:szCs w:val="12"/>
                <w:lang w:val="sv-SE"/>
              </w:rPr>
              <w:t>3</w:t>
            </w:r>
          </w:p>
        </w:tc>
        <w:tc>
          <w:tcPr>
            <w:tcW w:w="415" w:type="dxa"/>
            <w:vMerge/>
            <w:tcBorders>
              <w:left w:val="nil"/>
              <w:right w:val="single" w:sz="8" w:space="0" w:color="auto"/>
            </w:tcBorders>
          </w:tcPr>
          <w:p w14:paraId="399161A9" w14:textId="77777777" w:rsidR="00E82BB3" w:rsidRDefault="00E82BB3" w:rsidP="00704657">
            <w:pPr>
              <w:rPr>
                <w:rFonts w:ascii="Calibri" w:eastAsia="Calibri" w:hAnsi="Calibri" w:cs="Calibri"/>
                <w:sz w:val="12"/>
                <w:szCs w:val="12"/>
                <w:lang w:val="sv-SE"/>
              </w:rPr>
            </w:pPr>
          </w:p>
        </w:tc>
      </w:tr>
      <w:tr w:rsidR="00E82BB3" w:rsidRPr="0047424F" w14:paraId="0D3BD034" w14:textId="77777777" w:rsidTr="00704657">
        <w:tc>
          <w:tcPr>
            <w:tcW w:w="26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5C69C"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PDSCH</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17B100CD" w14:textId="77777777" w:rsidR="00E82BB3" w:rsidRPr="0047424F" w:rsidRDefault="00E82BB3" w:rsidP="00704657">
            <w:pP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14:paraId="7C787FCD" w14:textId="77777777" w:rsidR="00E82BB3" w:rsidRPr="0047424F" w:rsidRDefault="00E82BB3" w:rsidP="00704657">
            <w:pPr>
              <w:rPr>
                <w:rFonts w:eastAsia="Times New Roman"/>
                <w:sz w:val="12"/>
                <w:szCs w:val="12"/>
                <w:lang w:val="sv-SE" w:eastAsia="sv-SE"/>
              </w:rPr>
            </w:pPr>
          </w:p>
        </w:tc>
        <w:tc>
          <w:tcPr>
            <w:tcW w:w="42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CBD8AE"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36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4452C4"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202814F4"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3CB88FC2"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0F6FEB62"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53A5C346"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194148DF"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89550D3"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134AA93D"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324B42EE"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C538007" w14:textId="77777777" w:rsidR="00E82BB3" w:rsidRPr="0047424F" w:rsidRDefault="00E82BB3" w:rsidP="00704657">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7A633EAB" w14:textId="77777777" w:rsidR="00E82BB3" w:rsidRPr="0047424F" w:rsidRDefault="00E82BB3"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4C6813D1" w14:textId="77777777" w:rsidR="00E82BB3" w:rsidRPr="0047424F" w:rsidRDefault="00E82BB3"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4FCD0FC4" w14:textId="77777777" w:rsidR="00E82BB3" w:rsidRPr="0047424F" w:rsidRDefault="00E82BB3" w:rsidP="00704657">
            <w:pPr>
              <w:rPr>
                <w:rFonts w:ascii="Calibri" w:eastAsia="Calibri" w:hAnsi="Calibri" w:cs="Calibri"/>
                <w:sz w:val="12"/>
                <w:szCs w:val="12"/>
                <w:lang w:val="sv-SE"/>
              </w:rPr>
            </w:pPr>
          </w:p>
        </w:tc>
        <w:tc>
          <w:tcPr>
            <w:tcW w:w="444" w:type="dxa"/>
            <w:tcBorders>
              <w:top w:val="nil"/>
              <w:left w:val="nil"/>
              <w:bottom w:val="single" w:sz="8" w:space="0" w:color="auto"/>
              <w:right w:val="single" w:sz="8" w:space="0" w:color="auto"/>
            </w:tcBorders>
            <w:tcMar>
              <w:top w:w="0" w:type="dxa"/>
              <w:left w:w="108" w:type="dxa"/>
              <w:bottom w:w="0" w:type="dxa"/>
              <w:right w:w="108" w:type="dxa"/>
            </w:tcMar>
          </w:tcPr>
          <w:p w14:paraId="08E2C00D" w14:textId="77777777" w:rsidR="00E82BB3" w:rsidRPr="0047424F" w:rsidRDefault="00E82BB3" w:rsidP="00704657">
            <w:pPr>
              <w:rPr>
                <w:rFonts w:ascii="Calibri" w:eastAsia="Calibri" w:hAnsi="Calibri" w:cs="Calibri"/>
                <w:sz w:val="12"/>
                <w:szCs w:val="12"/>
                <w:lang w:val="sv-SE"/>
              </w:rPr>
            </w:pPr>
          </w:p>
        </w:tc>
        <w:tc>
          <w:tcPr>
            <w:tcW w:w="384" w:type="dxa"/>
            <w:tcBorders>
              <w:top w:val="nil"/>
              <w:left w:val="nil"/>
              <w:bottom w:val="single" w:sz="8" w:space="0" w:color="auto"/>
              <w:right w:val="single" w:sz="8" w:space="0" w:color="auto"/>
            </w:tcBorders>
            <w:tcMar>
              <w:top w:w="0" w:type="dxa"/>
              <w:left w:w="108" w:type="dxa"/>
              <w:bottom w:w="0" w:type="dxa"/>
              <w:right w:w="108" w:type="dxa"/>
            </w:tcMar>
          </w:tcPr>
          <w:p w14:paraId="7DEE7122" w14:textId="77777777" w:rsidR="00E82BB3" w:rsidRPr="0047424F" w:rsidRDefault="00E82BB3" w:rsidP="00704657">
            <w:pPr>
              <w:rPr>
                <w:rFonts w:ascii="Calibri" w:eastAsia="Calibri" w:hAnsi="Calibri" w:cs="Calibri"/>
                <w:sz w:val="12"/>
                <w:szCs w:val="12"/>
                <w:lang w:val="sv-SE"/>
              </w:rPr>
            </w:pPr>
            <w:r>
              <w:rPr>
                <w:rFonts w:ascii="Calibri" w:eastAsia="Calibri" w:hAnsi="Calibri" w:cs="Calibri"/>
                <w:sz w:val="12"/>
                <w:szCs w:val="12"/>
                <w:lang w:val="sv-SE"/>
              </w:rPr>
              <w:t>0</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3F773151" w14:textId="77777777" w:rsidR="00E82BB3" w:rsidRPr="0047424F" w:rsidRDefault="00E82BB3" w:rsidP="00704657">
            <w:pPr>
              <w:rPr>
                <w:rFonts w:ascii="Calibri" w:eastAsia="Calibri" w:hAnsi="Calibri" w:cs="Calibri"/>
                <w:sz w:val="12"/>
                <w:szCs w:val="12"/>
                <w:lang w:val="sv-SE"/>
              </w:rPr>
            </w:pPr>
            <w:r>
              <w:rPr>
                <w:rFonts w:ascii="Calibri" w:eastAsia="Calibri" w:hAnsi="Calibri" w:cs="Calibri"/>
                <w:sz w:val="12"/>
                <w:szCs w:val="12"/>
                <w:lang w:val="sv-SE"/>
              </w:rPr>
              <w:t>3</w:t>
            </w:r>
          </w:p>
        </w:tc>
        <w:tc>
          <w:tcPr>
            <w:tcW w:w="415" w:type="dxa"/>
            <w:vMerge/>
            <w:tcBorders>
              <w:left w:val="nil"/>
              <w:right w:val="single" w:sz="8" w:space="0" w:color="auto"/>
            </w:tcBorders>
          </w:tcPr>
          <w:p w14:paraId="5AABD5F4" w14:textId="77777777" w:rsidR="00E82BB3" w:rsidRDefault="00E82BB3" w:rsidP="00704657">
            <w:pPr>
              <w:rPr>
                <w:rFonts w:ascii="Calibri" w:eastAsia="Calibri" w:hAnsi="Calibri" w:cs="Calibri"/>
                <w:sz w:val="12"/>
                <w:szCs w:val="12"/>
                <w:lang w:val="sv-SE"/>
              </w:rPr>
            </w:pPr>
          </w:p>
        </w:tc>
      </w:tr>
      <w:tr w:rsidR="005950B2" w:rsidRPr="0047424F" w14:paraId="072549E6" w14:textId="77777777" w:rsidTr="00704657">
        <w:tc>
          <w:tcPr>
            <w:tcW w:w="26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F801A8" w14:textId="002EC411" w:rsidR="005950B2" w:rsidRDefault="005950B2" w:rsidP="005950B2">
            <w:pPr>
              <w:rPr>
                <w:rFonts w:ascii="Calibri" w:eastAsia="Calibri" w:hAnsi="Calibri" w:cs="Calibri"/>
                <w:sz w:val="12"/>
                <w:szCs w:val="12"/>
                <w:lang w:val="sv-SE"/>
              </w:rPr>
            </w:pPr>
            <w:r w:rsidRPr="00E82BB3">
              <w:rPr>
                <w:rFonts w:ascii="Calibri" w:eastAsia="Calibri" w:hAnsi="Calibri" w:cs="Calibri"/>
                <w:sz w:val="12"/>
                <w:szCs w:val="12"/>
                <w:lang w:val="sv-SE"/>
              </w:rPr>
              <w:t>PUCCH Enabled</w:t>
            </w:r>
            <w:r>
              <w:rPr>
                <w:rFonts w:ascii="Calibri" w:eastAsia="Calibri" w:hAnsi="Calibri" w:cs="Calibri"/>
                <w:sz w:val="12"/>
                <w:szCs w:val="12"/>
                <w:lang w:val="sv-SE"/>
              </w:rPr>
              <w:t xml:space="preserve"> for HARQ processes# 0</w:t>
            </w:r>
            <w:r w:rsidR="006F615D">
              <w:rPr>
                <w:rFonts w:ascii="Calibri" w:eastAsia="Calibri" w:hAnsi="Calibri" w:cs="Calibri"/>
                <w:sz w:val="12"/>
                <w:szCs w:val="12"/>
                <w:lang w:val="sv-SE"/>
              </w:rPr>
              <w:t>,</w:t>
            </w:r>
            <w:r>
              <w:rPr>
                <w:rFonts w:ascii="Calibri" w:eastAsia="Calibri" w:hAnsi="Calibri" w:cs="Calibri"/>
                <w:sz w:val="12"/>
                <w:szCs w:val="12"/>
                <w:lang w:val="sv-SE"/>
              </w:rPr>
              <w:t xml:space="preserve"> </w:t>
            </w:r>
            <w:r w:rsidR="006F615D">
              <w:rPr>
                <w:rFonts w:ascii="Calibri" w:eastAsia="Calibri" w:hAnsi="Calibri" w:cs="Calibri"/>
                <w:sz w:val="12"/>
                <w:szCs w:val="12"/>
                <w:lang w:val="sv-SE"/>
              </w:rPr>
              <w:t xml:space="preserve">#1, </w:t>
            </w:r>
            <w:r>
              <w:rPr>
                <w:rFonts w:ascii="Calibri" w:eastAsia="Calibri" w:hAnsi="Calibri" w:cs="Calibri"/>
                <w:sz w:val="12"/>
                <w:szCs w:val="12"/>
                <w:lang w:val="sv-SE"/>
              </w:rPr>
              <w:t>and #</w:t>
            </w:r>
            <w:r w:rsidR="006F615D">
              <w:rPr>
                <w:rFonts w:ascii="Calibri" w:eastAsia="Calibri" w:hAnsi="Calibri" w:cs="Calibri"/>
                <w:sz w:val="12"/>
                <w:szCs w:val="12"/>
                <w:lang w:val="sv-SE"/>
              </w:rPr>
              <w:t>2.</w:t>
            </w:r>
          </w:p>
          <w:p w14:paraId="51F0F11E" w14:textId="5D55FF1A" w:rsidR="005950B2" w:rsidRPr="0047424F" w:rsidRDefault="005950B2" w:rsidP="005950B2">
            <w:pPr>
              <w:rPr>
                <w:rFonts w:ascii="Calibri" w:eastAsia="Calibri" w:hAnsi="Calibri" w:cs="Calibri"/>
                <w:sz w:val="12"/>
                <w:szCs w:val="12"/>
                <w:lang w:val="sv-SE"/>
              </w:rPr>
            </w:pPr>
            <w:r>
              <w:rPr>
                <w:rFonts w:ascii="Calibri" w:eastAsia="Calibri" w:hAnsi="Calibri" w:cs="Calibri"/>
                <w:sz w:val="12"/>
                <w:szCs w:val="12"/>
                <w:lang w:val="sv-SE"/>
              </w:rPr>
              <w:t xml:space="preserve">HARQ-ACK bundling, </w:t>
            </w:r>
            <w:r w:rsidR="000916AC">
              <w:rPr>
                <w:rFonts w:ascii="Calibri" w:eastAsia="Calibri" w:hAnsi="Calibri" w:cs="Calibri"/>
                <w:sz w:val="12"/>
                <w:szCs w:val="12"/>
                <w:lang w:val="sv-SE"/>
              </w:rPr>
              <w:t>where</w:t>
            </w:r>
            <w:r>
              <w:rPr>
                <w:rFonts w:ascii="Calibri" w:eastAsia="Calibri" w:hAnsi="Calibri" w:cs="Calibri"/>
                <w:sz w:val="12"/>
                <w:szCs w:val="12"/>
                <w:lang w:val="sv-SE"/>
              </w:rPr>
              <w:t xml:space="preserve"> ACKs/NACKs for HARQ processes #0</w:t>
            </w:r>
            <w:r w:rsidR="006F615D">
              <w:rPr>
                <w:rFonts w:ascii="Calibri" w:eastAsia="Calibri" w:hAnsi="Calibri" w:cs="Calibri"/>
                <w:sz w:val="12"/>
                <w:szCs w:val="12"/>
                <w:lang w:val="sv-SE"/>
              </w:rPr>
              <w:t xml:space="preserve">, #1, </w:t>
            </w:r>
            <w:r>
              <w:rPr>
                <w:rFonts w:ascii="Calibri" w:eastAsia="Calibri" w:hAnsi="Calibri" w:cs="Calibri"/>
                <w:sz w:val="12"/>
                <w:szCs w:val="12"/>
                <w:lang w:val="sv-SE"/>
              </w:rPr>
              <w:t>and #</w:t>
            </w:r>
            <w:r w:rsidR="006F615D">
              <w:rPr>
                <w:rFonts w:ascii="Calibri" w:eastAsia="Calibri" w:hAnsi="Calibri" w:cs="Calibri"/>
                <w:sz w:val="12"/>
                <w:szCs w:val="12"/>
                <w:lang w:val="sv-SE"/>
              </w:rPr>
              <w:t>2</w:t>
            </w:r>
            <w:r w:rsidR="000916AC">
              <w:rPr>
                <w:rFonts w:ascii="Calibri" w:eastAsia="Calibri" w:hAnsi="Calibri" w:cs="Calibri"/>
                <w:sz w:val="12"/>
                <w:szCs w:val="12"/>
                <w:lang w:val="sv-SE"/>
              </w:rPr>
              <w:t xml:space="preserve"> were bundled (see curly brackets).</w:t>
            </w: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235EEC1C" w14:textId="77777777" w:rsidR="005950B2" w:rsidRPr="0047424F" w:rsidRDefault="005950B2" w:rsidP="00704657">
            <w:pP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0B94AA58" w14:textId="77777777" w:rsidR="005950B2" w:rsidRPr="0047424F" w:rsidRDefault="005950B2" w:rsidP="00704657">
            <w:pPr>
              <w:rPr>
                <w:rFonts w:eastAsia="Times New Roman"/>
                <w:sz w:val="12"/>
                <w:szCs w:val="12"/>
                <w:lang w:val="sv-SE" w:eastAsia="sv-SE"/>
              </w:rPr>
            </w:pPr>
          </w:p>
        </w:tc>
        <w:tc>
          <w:tcPr>
            <w:tcW w:w="425" w:type="dxa"/>
            <w:gridSpan w:val="2"/>
            <w:tcBorders>
              <w:top w:val="nil"/>
              <w:left w:val="nil"/>
              <w:bottom w:val="single" w:sz="8" w:space="0" w:color="auto"/>
              <w:right w:val="single" w:sz="8" w:space="0" w:color="auto"/>
            </w:tcBorders>
            <w:tcMar>
              <w:top w:w="0" w:type="dxa"/>
              <w:left w:w="108" w:type="dxa"/>
              <w:bottom w:w="0" w:type="dxa"/>
              <w:right w:w="108" w:type="dxa"/>
            </w:tcMar>
          </w:tcPr>
          <w:p w14:paraId="61579FF9" w14:textId="77777777" w:rsidR="005950B2" w:rsidRPr="0047424F" w:rsidRDefault="005950B2" w:rsidP="00704657">
            <w:pPr>
              <w:rPr>
                <w:rFonts w:ascii="Calibri" w:eastAsia="Calibri" w:hAnsi="Calibri" w:cs="Calibri"/>
                <w:sz w:val="12"/>
                <w:szCs w:val="12"/>
                <w:lang w:val="sv-SE"/>
              </w:rPr>
            </w:pPr>
          </w:p>
        </w:tc>
        <w:tc>
          <w:tcPr>
            <w:tcW w:w="365" w:type="dxa"/>
            <w:gridSpan w:val="2"/>
            <w:tcBorders>
              <w:top w:val="nil"/>
              <w:left w:val="nil"/>
              <w:bottom w:val="single" w:sz="8" w:space="0" w:color="auto"/>
              <w:right w:val="single" w:sz="8" w:space="0" w:color="auto"/>
            </w:tcBorders>
            <w:tcMar>
              <w:top w:w="0" w:type="dxa"/>
              <w:left w:w="108" w:type="dxa"/>
              <w:bottom w:w="0" w:type="dxa"/>
              <w:right w:w="108" w:type="dxa"/>
            </w:tcMar>
          </w:tcPr>
          <w:p w14:paraId="79A10186"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30C46B5D"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7A57A806"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0FD5D4D6"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952C387"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1723C4D9"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tcPr>
          <w:p w14:paraId="52437227"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07F1A4A"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7202D60"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87980F6" w14:textId="77777777" w:rsidR="005950B2" w:rsidRPr="0047424F" w:rsidRDefault="005950B2" w:rsidP="00704657">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3F1BD5C4" w14:textId="77777777" w:rsidR="005950B2" w:rsidRDefault="005950B2" w:rsidP="005950B2">
            <w:pPr>
              <w:rPr>
                <w:rFonts w:ascii="Calibri" w:eastAsia="Calibri" w:hAnsi="Calibri" w:cs="Calibri"/>
                <w:sz w:val="12"/>
                <w:szCs w:val="12"/>
                <w:lang w:val="sv-SE"/>
              </w:rPr>
            </w:pPr>
            <w:r>
              <w:rPr>
                <w:rFonts w:ascii="Calibri" w:eastAsia="Calibri" w:hAnsi="Calibri" w:cs="Calibri"/>
                <w:sz w:val="12"/>
                <w:szCs w:val="12"/>
                <w:lang w:val="sv-SE"/>
              </w:rPr>
              <w:t>0</w:t>
            </w:r>
          </w:p>
          <w:p w14:paraId="08552E7B" w14:textId="6D236262" w:rsidR="005950B2" w:rsidRPr="0047424F" w:rsidRDefault="005950B2" w:rsidP="005950B2">
            <w:pPr>
              <w:rPr>
                <w:rFonts w:ascii="Calibri" w:eastAsia="Calibri" w:hAnsi="Calibri" w:cs="Calibri"/>
                <w:sz w:val="12"/>
                <w:szCs w:val="12"/>
                <w:lang w:val="sv-SE"/>
              </w:rPr>
            </w:pPr>
            <w:r>
              <w:rPr>
                <w:rFonts w:ascii="Calibri" w:eastAsia="Calibri" w:hAnsi="Calibri" w:cs="Calibri"/>
                <w:sz w:val="12"/>
                <w:szCs w:val="12"/>
                <w:lang w:val="sv-SE"/>
              </w:rPr>
              <w:t>{0,1</w:t>
            </w:r>
            <w:r w:rsidR="006F615D">
              <w:rPr>
                <w:rFonts w:ascii="Calibri" w:eastAsia="Calibri" w:hAnsi="Calibri" w:cs="Calibri"/>
                <w:sz w:val="12"/>
                <w:szCs w:val="12"/>
                <w:lang w:val="sv-SE"/>
              </w:rPr>
              <w:t>,2</w:t>
            </w:r>
            <w:r>
              <w:rPr>
                <w:rFonts w:ascii="Calibri" w:eastAsia="Calibri" w:hAnsi="Calibri" w:cs="Calibri"/>
                <w:sz w:val="12"/>
                <w:szCs w:val="12"/>
                <w:lang w:val="sv-SE"/>
              </w:rPr>
              <w:t>}</w:t>
            </w: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46E4DCFE" w14:textId="77777777" w:rsidR="005950B2" w:rsidRPr="0047424F" w:rsidRDefault="005950B2" w:rsidP="00704657">
            <w:pPr>
              <w:rPr>
                <w:rFonts w:ascii="Calibri" w:eastAsia="Calibri" w:hAnsi="Calibri" w:cs="Calibri"/>
                <w:sz w:val="12"/>
                <w:szCs w:val="12"/>
                <w:lang w:val="sv-SE"/>
              </w:rPr>
            </w:pPr>
          </w:p>
        </w:tc>
        <w:tc>
          <w:tcPr>
            <w:tcW w:w="379" w:type="dxa"/>
            <w:tcBorders>
              <w:top w:val="nil"/>
              <w:left w:val="nil"/>
              <w:bottom w:val="single" w:sz="8" w:space="0" w:color="auto"/>
              <w:right w:val="single" w:sz="8" w:space="0" w:color="auto"/>
            </w:tcBorders>
            <w:tcMar>
              <w:top w:w="0" w:type="dxa"/>
              <w:left w:w="108" w:type="dxa"/>
              <w:bottom w:w="0" w:type="dxa"/>
              <w:right w:w="108" w:type="dxa"/>
            </w:tcMar>
          </w:tcPr>
          <w:p w14:paraId="54FED639" w14:textId="77777777" w:rsidR="005950B2" w:rsidRPr="0047424F" w:rsidRDefault="005950B2" w:rsidP="00704657">
            <w:pPr>
              <w:rPr>
                <w:rFonts w:ascii="Calibri" w:eastAsia="Calibri" w:hAnsi="Calibri" w:cs="Calibri"/>
                <w:sz w:val="12"/>
                <w:szCs w:val="12"/>
                <w:lang w:val="sv-SE"/>
              </w:rPr>
            </w:pPr>
          </w:p>
        </w:tc>
        <w:tc>
          <w:tcPr>
            <w:tcW w:w="444" w:type="dxa"/>
            <w:tcBorders>
              <w:top w:val="nil"/>
              <w:left w:val="nil"/>
              <w:bottom w:val="single" w:sz="8" w:space="0" w:color="auto"/>
              <w:right w:val="single" w:sz="8" w:space="0" w:color="auto"/>
            </w:tcBorders>
            <w:tcMar>
              <w:top w:w="0" w:type="dxa"/>
              <w:left w:w="108" w:type="dxa"/>
              <w:bottom w:w="0" w:type="dxa"/>
              <w:right w:w="108" w:type="dxa"/>
            </w:tcMar>
          </w:tcPr>
          <w:p w14:paraId="4F6D380D" w14:textId="77777777" w:rsidR="005950B2" w:rsidRPr="0047424F" w:rsidRDefault="005950B2" w:rsidP="00704657">
            <w:pPr>
              <w:rPr>
                <w:rFonts w:ascii="Calibri" w:eastAsia="Calibri" w:hAnsi="Calibri" w:cs="Calibri"/>
                <w:sz w:val="12"/>
                <w:szCs w:val="12"/>
                <w:lang w:val="sv-SE"/>
              </w:rPr>
            </w:pPr>
          </w:p>
        </w:tc>
        <w:tc>
          <w:tcPr>
            <w:tcW w:w="384" w:type="dxa"/>
            <w:tcBorders>
              <w:top w:val="nil"/>
              <w:left w:val="nil"/>
              <w:bottom w:val="single" w:sz="8" w:space="0" w:color="auto"/>
              <w:right w:val="single" w:sz="8" w:space="0" w:color="auto"/>
            </w:tcBorders>
            <w:tcMar>
              <w:top w:w="0" w:type="dxa"/>
              <w:left w:w="108" w:type="dxa"/>
              <w:bottom w:w="0" w:type="dxa"/>
              <w:right w:w="108" w:type="dxa"/>
            </w:tcMar>
          </w:tcPr>
          <w:p w14:paraId="2C0C216B" w14:textId="77777777" w:rsidR="005950B2" w:rsidRDefault="005950B2" w:rsidP="00704657">
            <w:pPr>
              <w:rPr>
                <w:rFonts w:ascii="Calibri" w:eastAsia="Calibri" w:hAnsi="Calibri" w:cs="Calibri"/>
                <w:sz w:val="12"/>
                <w:szCs w:val="12"/>
                <w:lang w:val="sv-SE"/>
              </w:rPr>
            </w:pPr>
          </w:p>
        </w:tc>
        <w:tc>
          <w:tcPr>
            <w:tcW w:w="425" w:type="dxa"/>
            <w:tcBorders>
              <w:top w:val="nil"/>
              <w:left w:val="nil"/>
              <w:bottom w:val="single" w:sz="8" w:space="0" w:color="auto"/>
              <w:right w:val="single" w:sz="8" w:space="0" w:color="auto"/>
            </w:tcBorders>
            <w:tcMar>
              <w:top w:w="0" w:type="dxa"/>
              <w:left w:w="108" w:type="dxa"/>
              <w:bottom w:w="0" w:type="dxa"/>
              <w:right w:w="108" w:type="dxa"/>
            </w:tcMar>
          </w:tcPr>
          <w:p w14:paraId="686ABF6A" w14:textId="77777777" w:rsidR="005950B2" w:rsidRDefault="005950B2" w:rsidP="00704657">
            <w:pPr>
              <w:rPr>
                <w:rFonts w:ascii="Calibri" w:eastAsia="Calibri" w:hAnsi="Calibri" w:cs="Calibri"/>
                <w:sz w:val="12"/>
                <w:szCs w:val="12"/>
                <w:lang w:val="sv-SE"/>
              </w:rPr>
            </w:pPr>
          </w:p>
        </w:tc>
        <w:tc>
          <w:tcPr>
            <w:tcW w:w="415" w:type="dxa"/>
            <w:vMerge/>
            <w:tcBorders>
              <w:left w:val="nil"/>
              <w:right w:val="single" w:sz="8" w:space="0" w:color="auto"/>
            </w:tcBorders>
          </w:tcPr>
          <w:p w14:paraId="623E3287" w14:textId="77777777" w:rsidR="005950B2" w:rsidRDefault="005950B2" w:rsidP="00704657">
            <w:pPr>
              <w:rPr>
                <w:rFonts w:ascii="Calibri" w:eastAsia="Calibri" w:hAnsi="Calibri" w:cs="Calibri"/>
                <w:sz w:val="12"/>
                <w:szCs w:val="12"/>
                <w:lang w:val="sv-SE"/>
              </w:rPr>
            </w:pPr>
          </w:p>
        </w:tc>
      </w:tr>
      <w:tr w:rsidR="00E82BB3" w:rsidRPr="0047424F" w14:paraId="368DCAB7" w14:textId="77777777" w:rsidTr="00E82BB3">
        <w:tc>
          <w:tcPr>
            <w:tcW w:w="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D7092F" w14:textId="48DD802B" w:rsidR="00E82BB3" w:rsidRPr="0047424F" w:rsidRDefault="005950B2" w:rsidP="00704657">
            <w:pPr>
              <w:rPr>
                <w:rFonts w:ascii="Calibri" w:eastAsia="Calibri" w:hAnsi="Calibri" w:cs="Calibri"/>
                <w:sz w:val="12"/>
                <w:szCs w:val="12"/>
                <w:lang w:val="sv-SE"/>
              </w:rPr>
            </w:pPr>
            <w:r w:rsidRPr="0047424F">
              <w:rPr>
                <w:rFonts w:ascii="Calibri" w:eastAsia="Calibri" w:hAnsi="Calibri" w:cs="Calibri"/>
                <w:sz w:val="12"/>
                <w:szCs w:val="12"/>
              </w:rPr>
              <w:t>For HARQ Process #0</w:t>
            </w:r>
          </w:p>
        </w:tc>
        <w:tc>
          <w:tcPr>
            <w:tcW w:w="1975" w:type="dxa"/>
            <w:tcBorders>
              <w:top w:val="nil"/>
              <w:left w:val="nil"/>
              <w:bottom w:val="single" w:sz="8" w:space="0" w:color="4472C4"/>
              <w:right w:val="single" w:sz="8" w:space="0" w:color="auto"/>
            </w:tcBorders>
            <w:hideMark/>
          </w:tcPr>
          <w:p w14:paraId="4A884796" w14:textId="77777777" w:rsidR="00E82BB3" w:rsidRPr="0047424F" w:rsidRDefault="00E82BB3" w:rsidP="00704657">
            <w:pPr>
              <w:rPr>
                <w:rFonts w:ascii="Calibri" w:eastAsia="Calibri" w:hAnsi="Calibri" w:cs="Calibri"/>
                <w:sz w:val="12"/>
                <w:szCs w:val="12"/>
                <w:lang w:val="sv-SE"/>
              </w:rPr>
            </w:pPr>
            <w:r w:rsidRPr="0047424F">
              <w:rPr>
                <w:rFonts w:ascii="Calibri" w:eastAsia="Calibri" w:hAnsi="Calibri" w:cs="Calibri"/>
                <w:sz w:val="12"/>
                <w:szCs w:val="12"/>
              </w:rPr>
              <w:t>MDPCCH to PDSCH delay</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692F148A" w14:textId="77777777" w:rsidR="00E82BB3" w:rsidRPr="0047424F" w:rsidRDefault="00E82BB3" w:rsidP="00704657">
            <w:pPr>
              <w:rPr>
                <w:rFonts w:ascii="Calibri" w:eastAsia="Calibri" w:hAnsi="Calibri" w:cs="Calibri"/>
                <w:sz w:val="12"/>
                <w:szCs w:val="12"/>
                <w:lang w:val="sv-SE"/>
              </w:rPr>
            </w:pPr>
          </w:p>
        </w:tc>
        <w:tc>
          <w:tcPr>
            <w:tcW w:w="850" w:type="dxa"/>
            <w:gridSpan w:val="3"/>
            <w:tcBorders>
              <w:top w:val="nil"/>
              <w:left w:val="nil"/>
              <w:bottom w:val="single" w:sz="8" w:space="0" w:color="4472C4"/>
              <w:right w:val="single" w:sz="8" w:space="0" w:color="auto"/>
            </w:tcBorders>
            <w:tcMar>
              <w:top w:w="0" w:type="dxa"/>
              <w:left w:w="108" w:type="dxa"/>
              <w:bottom w:w="0" w:type="dxa"/>
              <w:right w:w="108" w:type="dxa"/>
            </w:tcMar>
            <w:hideMark/>
          </w:tcPr>
          <w:p w14:paraId="4E33E42C" w14:textId="77777777" w:rsidR="00E82BB3" w:rsidRPr="0047424F" w:rsidRDefault="00E82BB3" w:rsidP="00704657">
            <w:pPr>
              <w:jc w:val="center"/>
              <w:rPr>
                <w:rFonts w:ascii="Calibri" w:eastAsia="Calibri" w:hAnsi="Calibri" w:cs="Calibri"/>
                <w:sz w:val="12"/>
                <w:szCs w:val="12"/>
                <w:lang w:val="sv-SE"/>
              </w:rPr>
            </w:pPr>
            <w:r w:rsidRPr="0047424F">
              <w:rPr>
                <w:rFonts w:ascii="Calibri" w:eastAsia="Calibri" w:hAnsi="Calibri" w:cs="Calibri"/>
                <w:sz w:val="12"/>
                <w:szCs w:val="12"/>
                <w:lang w:val="sv-SE"/>
              </w:rPr>
              <w:t>2ms</w:t>
            </w:r>
          </w:p>
        </w:tc>
        <w:tc>
          <w:tcPr>
            <w:tcW w:w="365" w:type="dxa"/>
            <w:gridSpan w:val="2"/>
            <w:tcBorders>
              <w:top w:val="nil"/>
              <w:left w:val="nil"/>
              <w:bottom w:val="single" w:sz="8" w:space="0" w:color="4472C4"/>
              <w:right w:val="single" w:sz="8" w:space="0" w:color="auto"/>
            </w:tcBorders>
            <w:tcMar>
              <w:top w:w="0" w:type="dxa"/>
              <w:left w:w="108" w:type="dxa"/>
              <w:bottom w:w="0" w:type="dxa"/>
              <w:right w:w="108" w:type="dxa"/>
            </w:tcMar>
          </w:tcPr>
          <w:p w14:paraId="37C5575C" w14:textId="77777777" w:rsidR="00E82BB3" w:rsidRPr="0047424F" w:rsidRDefault="00E82BB3"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8B52310" w14:textId="77777777" w:rsidR="00E82BB3" w:rsidRPr="0047424F" w:rsidRDefault="00E82BB3"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80EF0F5" w14:textId="77777777" w:rsidR="00E82BB3" w:rsidRPr="0047424F" w:rsidRDefault="00E82BB3"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03EC02C" w14:textId="77777777" w:rsidR="00E82BB3" w:rsidRPr="0047424F" w:rsidRDefault="00E82BB3"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25F114F" w14:textId="77777777" w:rsidR="00E82BB3" w:rsidRPr="0047424F" w:rsidRDefault="00E82BB3"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427B575" w14:textId="77777777" w:rsidR="00E82BB3" w:rsidRPr="0047424F" w:rsidRDefault="00E82BB3"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268FC5E" w14:textId="77777777" w:rsidR="00E82BB3" w:rsidRPr="0047424F" w:rsidRDefault="00E82BB3"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0A688EA" w14:textId="77777777" w:rsidR="00E82BB3" w:rsidRPr="0047424F" w:rsidRDefault="00E82BB3"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FDF443D" w14:textId="77777777" w:rsidR="00E82BB3" w:rsidRPr="0047424F" w:rsidRDefault="00E82BB3"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34999B9" w14:textId="77777777" w:rsidR="00E82BB3" w:rsidRPr="0047424F" w:rsidRDefault="00E82BB3" w:rsidP="00704657">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599B2592" w14:textId="77777777" w:rsidR="00E82BB3" w:rsidRPr="0047424F" w:rsidRDefault="00E82BB3"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2FFD4A4D" w14:textId="77777777" w:rsidR="00E82BB3" w:rsidRPr="0047424F" w:rsidRDefault="00E82BB3"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231833E8" w14:textId="77777777" w:rsidR="00E82BB3" w:rsidRPr="0047424F" w:rsidRDefault="00E82BB3"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728C0D24" w14:textId="77777777" w:rsidR="00E82BB3" w:rsidRPr="0047424F" w:rsidRDefault="00E82BB3"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01E11152" w14:textId="77777777" w:rsidR="00E82BB3" w:rsidRPr="0047424F" w:rsidRDefault="00E82BB3"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3262385A" w14:textId="77777777" w:rsidR="00E82BB3" w:rsidRPr="0047424F" w:rsidRDefault="00E82BB3"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7D18AC10" w14:textId="77777777" w:rsidR="00E82BB3" w:rsidRPr="0047424F" w:rsidRDefault="00E82BB3" w:rsidP="00704657">
            <w:pPr>
              <w:rPr>
                <w:rFonts w:ascii="Calibri" w:eastAsia="Calibri" w:hAnsi="Calibri" w:cs="Calibri"/>
                <w:sz w:val="12"/>
                <w:szCs w:val="12"/>
                <w:lang w:val="sv-SE"/>
              </w:rPr>
            </w:pPr>
          </w:p>
        </w:tc>
      </w:tr>
      <w:tr w:rsidR="005950B2" w:rsidRPr="0047424F" w14:paraId="07A2808E" w14:textId="77777777" w:rsidTr="00CC0216">
        <w:tc>
          <w:tcPr>
            <w:tcW w:w="675" w:type="dxa"/>
            <w:tcBorders>
              <w:left w:val="single" w:sz="8" w:space="0" w:color="auto"/>
              <w:bottom w:val="single" w:sz="8" w:space="0" w:color="auto"/>
              <w:right w:val="single" w:sz="8" w:space="0" w:color="auto"/>
            </w:tcBorders>
            <w:tcMar>
              <w:top w:w="0" w:type="dxa"/>
              <w:left w:w="108" w:type="dxa"/>
              <w:bottom w:w="0" w:type="dxa"/>
              <w:right w:w="108" w:type="dxa"/>
            </w:tcMar>
          </w:tcPr>
          <w:p w14:paraId="7CE1B8A2" w14:textId="16AA8F45" w:rsidR="005950B2" w:rsidRPr="0047424F" w:rsidRDefault="005950B2" w:rsidP="00704657">
            <w:pPr>
              <w:rPr>
                <w:rFonts w:ascii="Calibri" w:eastAsia="Calibri" w:hAnsi="Calibri" w:cs="Calibri"/>
                <w:sz w:val="12"/>
                <w:szCs w:val="12"/>
                <w:lang w:val="sv-SE"/>
              </w:rPr>
            </w:pPr>
            <w:r w:rsidRPr="0047424F">
              <w:rPr>
                <w:rFonts w:ascii="Calibri" w:eastAsia="Calibri" w:hAnsi="Calibri" w:cs="Calibri"/>
                <w:sz w:val="12"/>
                <w:szCs w:val="12"/>
              </w:rPr>
              <w:t>For HARQ Process #</w:t>
            </w:r>
            <w:r>
              <w:rPr>
                <w:rFonts w:ascii="Calibri" w:eastAsia="Calibri" w:hAnsi="Calibri" w:cs="Calibri"/>
                <w:sz w:val="12"/>
                <w:szCs w:val="12"/>
              </w:rPr>
              <w:t>1</w:t>
            </w:r>
          </w:p>
        </w:tc>
        <w:tc>
          <w:tcPr>
            <w:tcW w:w="1975" w:type="dxa"/>
            <w:tcBorders>
              <w:top w:val="nil"/>
              <w:left w:val="nil"/>
              <w:bottom w:val="single" w:sz="8" w:space="0" w:color="4472C4"/>
              <w:right w:val="single" w:sz="8" w:space="0" w:color="auto"/>
            </w:tcBorders>
          </w:tcPr>
          <w:p w14:paraId="7A750859" w14:textId="659F48D5" w:rsidR="005950B2" w:rsidRPr="0047424F" w:rsidRDefault="005950B2" w:rsidP="00704657">
            <w:pPr>
              <w:rPr>
                <w:rFonts w:ascii="Calibri" w:eastAsia="Calibri" w:hAnsi="Calibri" w:cs="Calibri"/>
                <w:sz w:val="12"/>
                <w:szCs w:val="12"/>
              </w:rPr>
            </w:pPr>
            <w:r w:rsidRPr="0047424F">
              <w:rPr>
                <w:rFonts w:ascii="Calibri" w:eastAsia="Calibri" w:hAnsi="Calibri" w:cs="Calibri"/>
                <w:sz w:val="12"/>
                <w:szCs w:val="12"/>
              </w:rPr>
              <w:t>MDPCCH to PDSCH delay</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76CE34F1" w14:textId="77777777" w:rsidR="005950B2" w:rsidRPr="0047424F" w:rsidRDefault="005950B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5877C229" w14:textId="77777777" w:rsidR="005950B2" w:rsidRPr="0047424F" w:rsidRDefault="005950B2" w:rsidP="00704657">
            <w:pPr>
              <w:jc w:val="center"/>
              <w:rPr>
                <w:rFonts w:ascii="Calibri" w:eastAsia="Calibri" w:hAnsi="Calibri" w:cs="Calibri"/>
                <w:sz w:val="12"/>
                <w:szCs w:val="12"/>
                <w:lang w:val="sv-SE"/>
              </w:rPr>
            </w:pPr>
          </w:p>
        </w:tc>
        <w:tc>
          <w:tcPr>
            <w:tcW w:w="790" w:type="dxa"/>
            <w:gridSpan w:val="4"/>
            <w:tcBorders>
              <w:top w:val="nil"/>
              <w:left w:val="nil"/>
              <w:bottom w:val="single" w:sz="8" w:space="0" w:color="4472C4"/>
              <w:right w:val="single" w:sz="8" w:space="0" w:color="auto"/>
            </w:tcBorders>
          </w:tcPr>
          <w:p w14:paraId="13F3B962" w14:textId="4BD4271C" w:rsidR="005950B2" w:rsidRPr="0047424F" w:rsidRDefault="005950B2" w:rsidP="005950B2">
            <w:pPr>
              <w:jc w:val="center"/>
              <w:rPr>
                <w:rFonts w:ascii="Calibri" w:eastAsia="Calibri" w:hAnsi="Calibri" w:cs="Calibri"/>
                <w:sz w:val="12"/>
                <w:szCs w:val="12"/>
                <w:lang w:val="sv-SE"/>
              </w:rPr>
            </w:pPr>
            <w:r>
              <w:rPr>
                <w:rFonts w:ascii="Calibri" w:eastAsia="Calibri" w:hAnsi="Calibri" w:cs="Calibri"/>
                <w:sz w:val="12"/>
                <w:szCs w:val="12"/>
                <w:lang w:val="sv-SE"/>
              </w:rPr>
              <w:t>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81BAC16"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8A58669"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1222962"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69A7A21"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F4C22A0"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6D9176A"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163F555"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12C77DB9"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A2ECC65" w14:textId="77777777" w:rsidR="005950B2" w:rsidRPr="0047424F" w:rsidRDefault="005950B2" w:rsidP="00704657">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4063FC48" w14:textId="77777777" w:rsidR="005950B2" w:rsidRPr="0047424F" w:rsidRDefault="005950B2"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56D23BD5" w14:textId="77777777" w:rsidR="005950B2" w:rsidRPr="0047424F" w:rsidRDefault="005950B2"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5A4E46E0" w14:textId="77777777" w:rsidR="005950B2" w:rsidRPr="0047424F" w:rsidRDefault="005950B2"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0801D9D1" w14:textId="77777777" w:rsidR="005950B2" w:rsidRPr="0047424F" w:rsidRDefault="005950B2"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4A0DE39E" w14:textId="77777777" w:rsidR="005950B2" w:rsidRPr="0047424F" w:rsidRDefault="005950B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11E20330" w14:textId="77777777" w:rsidR="005950B2" w:rsidRPr="0047424F" w:rsidRDefault="005950B2"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26A0F34C" w14:textId="77777777" w:rsidR="005950B2" w:rsidRPr="0047424F" w:rsidRDefault="005950B2" w:rsidP="00704657">
            <w:pPr>
              <w:rPr>
                <w:rFonts w:ascii="Calibri" w:eastAsia="Calibri" w:hAnsi="Calibri" w:cs="Calibri"/>
                <w:sz w:val="12"/>
                <w:szCs w:val="12"/>
                <w:lang w:val="sv-SE"/>
              </w:rPr>
            </w:pPr>
          </w:p>
        </w:tc>
      </w:tr>
      <w:tr w:rsidR="006F615D" w:rsidRPr="0047424F" w14:paraId="3BD4DFA1" w14:textId="77777777" w:rsidTr="00D622C6">
        <w:tc>
          <w:tcPr>
            <w:tcW w:w="675" w:type="dxa"/>
            <w:tcBorders>
              <w:left w:val="single" w:sz="8" w:space="0" w:color="auto"/>
              <w:bottom w:val="single" w:sz="8" w:space="0" w:color="auto"/>
              <w:right w:val="single" w:sz="8" w:space="0" w:color="auto"/>
            </w:tcBorders>
            <w:tcMar>
              <w:top w:w="0" w:type="dxa"/>
              <w:left w:w="108" w:type="dxa"/>
              <w:bottom w:w="0" w:type="dxa"/>
              <w:right w:w="108" w:type="dxa"/>
            </w:tcMar>
          </w:tcPr>
          <w:p w14:paraId="16030729" w14:textId="6055A7F7" w:rsidR="006F615D" w:rsidRPr="0047424F" w:rsidRDefault="006F615D" w:rsidP="00704657">
            <w:pPr>
              <w:rPr>
                <w:rFonts w:ascii="Calibri" w:eastAsia="Calibri" w:hAnsi="Calibri" w:cs="Calibri"/>
                <w:sz w:val="12"/>
                <w:szCs w:val="12"/>
              </w:rPr>
            </w:pPr>
            <w:r w:rsidRPr="0047424F">
              <w:rPr>
                <w:rFonts w:ascii="Calibri" w:eastAsia="Calibri" w:hAnsi="Calibri" w:cs="Calibri"/>
                <w:sz w:val="12"/>
                <w:szCs w:val="12"/>
              </w:rPr>
              <w:t>For HARQ Process #</w:t>
            </w:r>
            <w:r>
              <w:rPr>
                <w:rFonts w:ascii="Calibri" w:eastAsia="Calibri" w:hAnsi="Calibri" w:cs="Calibri"/>
                <w:sz w:val="12"/>
                <w:szCs w:val="12"/>
              </w:rPr>
              <w:t>2</w:t>
            </w:r>
          </w:p>
        </w:tc>
        <w:tc>
          <w:tcPr>
            <w:tcW w:w="1975" w:type="dxa"/>
            <w:tcBorders>
              <w:top w:val="nil"/>
              <w:left w:val="nil"/>
              <w:bottom w:val="single" w:sz="8" w:space="0" w:color="4472C4"/>
              <w:right w:val="single" w:sz="8" w:space="0" w:color="auto"/>
            </w:tcBorders>
          </w:tcPr>
          <w:p w14:paraId="0D3677FB" w14:textId="4E8B1873" w:rsidR="006F615D" w:rsidRPr="0047424F" w:rsidRDefault="006F615D" w:rsidP="00704657">
            <w:pPr>
              <w:rPr>
                <w:rFonts w:ascii="Calibri" w:eastAsia="Calibri" w:hAnsi="Calibri" w:cs="Calibri"/>
                <w:sz w:val="12"/>
                <w:szCs w:val="12"/>
              </w:rPr>
            </w:pPr>
            <w:r w:rsidRPr="0047424F">
              <w:rPr>
                <w:rFonts w:ascii="Calibri" w:eastAsia="Calibri" w:hAnsi="Calibri" w:cs="Calibri"/>
                <w:sz w:val="12"/>
                <w:szCs w:val="12"/>
              </w:rPr>
              <w:t>MDPCCH to PDSCH delay</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7DA5819E" w14:textId="77777777" w:rsidR="006F615D" w:rsidRPr="0047424F" w:rsidRDefault="006F615D"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516A7565" w14:textId="77777777" w:rsidR="006F615D" w:rsidRPr="0047424F" w:rsidRDefault="006F615D" w:rsidP="00704657">
            <w:pPr>
              <w:jc w:val="center"/>
              <w:rPr>
                <w:rFonts w:ascii="Calibri" w:eastAsia="Calibri" w:hAnsi="Calibri" w:cs="Calibri"/>
                <w:sz w:val="12"/>
                <w:szCs w:val="12"/>
                <w:lang w:val="sv-SE"/>
              </w:rPr>
            </w:pPr>
          </w:p>
        </w:tc>
        <w:tc>
          <w:tcPr>
            <w:tcW w:w="395" w:type="dxa"/>
            <w:tcBorders>
              <w:top w:val="nil"/>
              <w:left w:val="nil"/>
              <w:bottom w:val="single" w:sz="8" w:space="0" w:color="4472C4"/>
              <w:right w:val="single" w:sz="8" w:space="0" w:color="auto"/>
            </w:tcBorders>
          </w:tcPr>
          <w:p w14:paraId="4180BD5A" w14:textId="77777777" w:rsidR="006F615D" w:rsidRDefault="006F615D" w:rsidP="005950B2">
            <w:pPr>
              <w:jc w:val="center"/>
              <w:rPr>
                <w:rFonts w:ascii="Calibri" w:eastAsia="Calibri" w:hAnsi="Calibri" w:cs="Calibri"/>
                <w:sz w:val="12"/>
                <w:szCs w:val="12"/>
                <w:lang w:val="sv-SE"/>
              </w:rPr>
            </w:pPr>
          </w:p>
        </w:tc>
        <w:tc>
          <w:tcPr>
            <w:tcW w:w="672" w:type="dxa"/>
            <w:gridSpan w:val="4"/>
            <w:tcBorders>
              <w:top w:val="nil"/>
              <w:left w:val="nil"/>
              <w:bottom w:val="single" w:sz="8" w:space="0" w:color="4472C4"/>
              <w:right w:val="single" w:sz="8" w:space="0" w:color="auto"/>
            </w:tcBorders>
          </w:tcPr>
          <w:p w14:paraId="6DDE02BA" w14:textId="51F484BD" w:rsidR="006F615D" w:rsidRPr="0047424F" w:rsidRDefault="006F615D" w:rsidP="006F615D">
            <w:pPr>
              <w:jc w:val="center"/>
              <w:rPr>
                <w:rFonts w:ascii="Calibri" w:eastAsia="Calibri" w:hAnsi="Calibri" w:cs="Calibri"/>
                <w:sz w:val="12"/>
                <w:szCs w:val="12"/>
                <w:lang w:val="sv-SE"/>
              </w:rPr>
            </w:pPr>
            <w:r>
              <w:rPr>
                <w:rFonts w:ascii="Calibri" w:eastAsia="Calibri" w:hAnsi="Calibri" w:cs="Calibri"/>
                <w:sz w:val="12"/>
                <w:szCs w:val="12"/>
                <w:lang w:val="sv-SE"/>
              </w:rPr>
              <w:t>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91B975F"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28B16D1"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CF71AC8"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ECB2FBD"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3F351A1" w14:textId="77777777" w:rsidR="006F615D" w:rsidRPr="0047424F" w:rsidRDefault="006F615D"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88F83E1" w14:textId="77777777" w:rsidR="006F615D" w:rsidRPr="0047424F" w:rsidRDefault="006F615D"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4C301EB" w14:textId="77777777" w:rsidR="006F615D" w:rsidRPr="0047424F" w:rsidRDefault="006F615D"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82D4A2B" w14:textId="77777777" w:rsidR="006F615D" w:rsidRPr="0047424F" w:rsidRDefault="006F615D" w:rsidP="00704657">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0C833D80" w14:textId="77777777" w:rsidR="006F615D" w:rsidRPr="0047424F" w:rsidRDefault="006F615D"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21DAFDDE" w14:textId="77777777" w:rsidR="006F615D" w:rsidRPr="0047424F" w:rsidRDefault="006F615D"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6949E11F" w14:textId="77777777" w:rsidR="006F615D" w:rsidRPr="0047424F" w:rsidRDefault="006F615D"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524E5A4C" w14:textId="77777777" w:rsidR="006F615D" w:rsidRPr="0047424F" w:rsidRDefault="006F615D"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22EAEF00" w14:textId="77777777" w:rsidR="006F615D" w:rsidRPr="0047424F" w:rsidRDefault="006F615D"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29DFA13A" w14:textId="77777777" w:rsidR="006F615D" w:rsidRPr="0047424F" w:rsidRDefault="006F615D"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0338F9D4" w14:textId="77777777" w:rsidR="006F615D" w:rsidRPr="0047424F" w:rsidRDefault="006F615D" w:rsidP="00704657">
            <w:pPr>
              <w:rPr>
                <w:rFonts w:ascii="Calibri" w:eastAsia="Calibri" w:hAnsi="Calibri" w:cs="Calibri"/>
                <w:sz w:val="12"/>
                <w:szCs w:val="12"/>
                <w:lang w:val="sv-SE"/>
              </w:rPr>
            </w:pPr>
          </w:p>
        </w:tc>
      </w:tr>
      <w:tr w:rsidR="006F615D" w:rsidRPr="0047424F" w14:paraId="772FC3FF" w14:textId="77777777" w:rsidTr="009C7FCE">
        <w:tc>
          <w:tcPr>
            <w:tcW w:w="6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8E8FE" w14:textId="5328E8FC" w:rsidR="006F615D" w:rsidRPr="0047424F" w:rsidRDefault="006F615D" w:rsidP="00704657">
            <w:pPr>
              <w:rPr>
                <w:rFonts w:ascii="Calibri" w:eastAsia="Calibri" w:hAnsi="Calibri" w:cs="Calibri"/>
                <w:sz w:val="12"/>
                <w:szCs w:val="12"/>
                <w:lang w:val="sv-SE"/>
              </w:rPr>
            </w:pPr>
            <w:r w:rsidRPr="0047424F">
              <w:rPr>
                <w:rFonts w:ascii="Calibri" w:eastAsia="Calibri" w:hAnsi="Calibri" w:cs="Calibri"/>
                <w:sz w:val="12"/>
                <w:szCs w:val="12"/>
              </w:rPr>
              <w:t>For HARQ Process #</w:t>
            </w:r>
            <w:r>
              <w:rPr>
                <w:rFonts w:ascii="Calibri" w:eastAsia="Calibri" w:hAnsi="Calibri" w:cs="Calibri"/>
                <w:sz w:val="12"/>
                <w:szCs w:val="12"/>
              </w:rPr>
              <w:t>3</w:t>
            </w:r>
          </w:p>
        </w:tc>
        <w:tc>
          <w:tcPr>
            <w:tcW w:w="1975" w:type="dxa"/>
            <w:tcBorders>
              <w:top w:val="nil"/>
              <w:left w:val="nil"/>
              <w:bottom w:val="single" w:sz="8" w:space="0" w:color="4472C4"/>
              <w:right w:val="single" w:sz="8" w:space="0" w:color="auto"/>
            </w:tcBorders>
          </w:tcPr>
          <w:p w14:paraId="765F1FD4" w14:textId="3F882E21" w:rsidR="006F615D" w:rsidRPr="0047424F" w:rsidRDefault="000916AC" w:rsidP="00704657">
            <w:pPr>
              <w:rPr>
                <w:rFonts w:ascii="Calibri" w:eastAsia="Calibri" w:hAnsi="Calibri" w:cs="Calibri"/>
                <w:sz w:val="12"/>
                <w:szCs w:val="12"/>
              </w:rPr>
            </w:pPr>
            <w:r w:rsidRPr="0047424F">
              <w:rPr>
                <w:rFonts w:ascii="Calibri" w:eastAsia="Calibri" w:hAnsi="Calibri" w:cs="Calibri"/>
                <w:sz w:val="12"/>
                <w:szCs w:val="12"/>
              </w:rPr>
              <w:t>MDPCCH to PDSCH delay</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3A54F3C3" w14:textId="77777777" w:rsidR="006F615D" w:rsidRPr="0047424F" w:rsidRDefault="006F615D"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2CDB0D5B" w14:textId="77777777" w:rsidR="006F615D" w:rsidRPr="0047424F" w:rsidRDefault="006F615D" w:rsidP="00704657">
            <w:pPr>
              <w:jc w:val="center"/>
              <w:rPr>
                <w:rFonts w:ascii="Calibri" w:eastAsia="Calibri" w:hAnsi="Calibri" w:cs="Calibri"/>
                <w:sz w:val="12"/>
                <w:szCs w:val="12"/>
                <w:lang w:val="sv-SE"/>
              </w:rPr>
            </w:pPr>
          </w:p>
        </w:tc>
        <w:tc>
          <w:tcPr>
            <w:tcW w:w="395" w:type="dxa"/>
            <w:tcBorders>
              <w:top w:val="nil"/>
              <w:left w:val="nil"/>
              <w:bottom w:val="single" w:sz="8" w:space="0" w:color="4472C4"/>
              <w:right w:val="single" w:sz="8" w:space="0" w:color="auto"/>
            </w:tcBorders>
          </w:tcPr>
          <w:p w14:paraId="55C0F90D" w14:textId="77777777" w:rsidR="006F615D" w:rsidRPr="0047424F" w:rsidRDefault="006F615D" w:rsidP="00E82BB3">
            <w:pPr>
              <w:jc w:val="center"/>
              <w:rPr>
                <w:rFonts w:ascii="Calibri" w:eastAsia="Calibri" w:hAnsi="Calibri" w:cs="Calibri"/>
                <w:sz w:val="12"/>
                <w:szCs w:val="12"/>
                <w:lang w:val="sv-SE"/>
              </w:rPr>
            </w:pPr>
          </w:p>
        </w:tc>
        <w:tc>
          <w:tcPr>
            <w:tcW w:w="336" w:type="dxa"/>
            <w:gridSpan w:val="2"/>
            <w:tcBorders>
              <w:top w:val="nil"/>
              <w:left w:val="nil"/>
              <w:bottom w:val="single" w:sz="8" w:space="0" w:color="4472C4"/>
              <w:right w:val="single" w:sz="8" w:space="0" w:color="auto"/>
            </w:tcBorders>
          </w:tcPr>
          <w:p w14:paraId="35B94E54" w14:textId="77777777" w:rsidR="006F615D" w:rsidRPr="0047424F" w:rsidRDefault="006F615D" w:rsidP="00704657">
            <w:pPr>
              <w:rPr>
                <w:rFonts w:ascii="Calibri" w:eastAsia="Calibri" w:hAnsi="Calibri" w:cs="Calibri"/>
                <w:sz w:val="12"/>
                <w:szCs w:val="12"/>
                <w:lang w:val="sv-SE"/>
              </w:rPr>
            </w:pPr>
          </w:p>
        </w:tc>
        <w:tc>
          <w:tcPr>
            <w:tcW w:w="613" w:type="dxa"/>
            <w:gridSpan w:val="3"/>
            <w:tcBorders>
              <w:top w:val="nil"/>
              <w:left w:val="nil"/>
              <w:bottom w:val="single" w:sz="8" w:space="0" w:color="4472C4"/>
              <w:right w:val="single" w:sz="8" w:space="0" w:color="auto"/>
            </w:tcBorders>
          </w:tcPr>
          <w:p w14:paraId="4E218116" w14:textId="783E311A" w:rsidR="006F615D" w:rsidRPr="0047424F" w:rsidRDefault="006F615D" w:rsidP="006F615D">
            <w:pPr>
              <w:jc w:val="center"/>
              <w:rPr>
                <w:rFonts w:ascii="Calibri" w:eastAsia="Calibri" w:hAnsi="Calibri" w:cs="Calibri"/>
                <w:sz w:val="12"/>
                <w:szCs w:val="12"/>
                <w:lang w:val="sv-SE"/>
              </w:rPr>
            </w:pPr>
            <w:r>
              <w:rPr>
                <w:rFonts w:ascii="Calibri" w:eastAsia="Calibri" w:hAnsi="Calibri" w:cs="Calibri"/>
                <w:sz w:val="12"/>
                <w:szCs w:val="12"/>
                <w:lang w:val="sv-SE"/>
              </w:rPr>
              <w:t>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6620620"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991F15D"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EE53A73" w14:textId="77777777" w:rsidR="006F615D" w:rsidRPr="0047424F" w:rsidRDefault="006F615D"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B003A6D" w14:textId="77777777" w:rsidR="006F615D" w:rsidRPr="0047424F" w:rsidRDefault="006F615D"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2CE299B" w14:textId="77777777" w:rsidR="006F615D" w:rsidRPr="0047424F" w:rsidRDefault="006F615D"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6A1F207C" w14:textId="77777777" w:rsidR="006F615D" w:rsidRPr="0047424F" w:rsidRDefault="006F615D"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72E1495" w14:textId="77777777" w:rsidR="006F615D" w:rsidRPr="0047424F" w:rsidRDefault="006F615D" w:rsidP="00704657">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4DD8624F" w14:textId="77777777" w:rsidR="006F615D" w:rsidRPr="0047424F" w:rsidRDefault="006F615D"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014043CD" w14:textId="77777777" w:rsidR="006F615D" w:rsidRPr="0047424F" w:rsidRDefault="006F615D" w:rsidP="00704657">
            <w:pPr>
              <w:rPr>
                <w:rFonts w:ascii="Calibri" w:eastAsia="Calibri" w:hAnsi="Calibri" w:cs="Calibri"/>
                <w:sz w:val="12"/>
                <w:szCs w:val="12"/>
                <w:lang w:val="sv-SE"/>
              </w:rPr>
            </w:pP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1975AD72" w14:textId="77777777" w:rsidR="006F615D" w:rsidRPr="0047424F" w:rsidRDefault="006F615D"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528BBB11" w14:textId="77777777" w:rsidR="006F615D" w:rsidRPr="0047424F" w:rsidRDefault="006F615D"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5594598C" w14:textId="77777777" w:rsidR="006F615D" w:rsidRPr="0047424F" w:rsidRDefault="006F615D"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373C3444" w14:textId="77777777" w:rsidR="006F615D" w:rsidRPr="0047424F" w:rsidRDefault="006F615D"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1BADD777" w14:textId="77777777" w:rsidR="006F615D" w:rsidRPr="0047424F" w:rsidRDefault="006F615D" w:rsidP="00704657">
            <w:pPr>
              <w:rPr>
                <w:rFonts w:ascii="Calibri" w:eastAsia="Calibri" w:hAnsi="Calibri" w:cs="Calibri"/>
                <w:sz w:val="12"/>
                <w:szCs w:val="12"/>
                <w:lang w:val="sv-SE"/>
              </w:rPr>
            </w:pPr>
          </w:p>
        </w:tc>
      </w:tr>
      <w:tr w:rsidR="005950B2" w:rsidRPr="0047424F" w14:paraId="622BC646" w14:textId="77777777" w:rsidTr="001F0FE8">
        <w:tc>
          <w:tcPr>
            <w:tcW w:w="675"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E018A" w14:textId="77777777" w:rsidR="005950B2" w:rsidRPr="0047424F" w:rsidRDefault="005950B2" w:rsidP="00704657">
            <w:pPr>
              <w:rPr>
                <w:rFonts w:ascii="Calibri" w:eastAsia="Calibri" w:hAnsi="Calibri" w:cs="Calibri"/>
                <w:sz w:val="12"/>
                <w:szCs w:val="12"/>
              </w:rPr>
            </w:pPr>
          </w:p>
        </w:tc>
        <w:tc>
          <w:tcPr>
            <w:tcW w:w="1975" w:type="dxa"/>
            <w:tcBorders>
              <w:top w:val="nil"/>
              <w:left w:val="nil"/>
              <w:bottom w:val="single" w:sz="8" w:space="0" w:color="4472C4"/>
              <w:right w:val="single" w:sz="8" w:space="0" w:color="auto"/>
            </w:tcBorders>
          </w:tcPr>
          <w:p w14:paraId="1A4DEC78" w14:textId="5B805B72" w:rsidR="005950B2" w:rsidRPr="0047424F" w:rsidRDefault="005950B2" w:rsidP="00704657">
            <w:pPr>
              <w:rPr>
                <w:rFonts w:ascii="Calibri" w:eastAsia="Calibri" w:hAnsi="Calibri" w:cs="Calibri"/>
                <w:sz w:val="12"/>
                <w:szCs w:val="12"/>
              </w:rPr>
            </w:pPr>
            <w:r>
              <w:rPr>
                <w:rFonts w:ascii="Calibri" w:eastAsia="Calibri" w:hAnsi="Calibri" w:cs="Calibri"/>
                <w:sz w:val="12"/>
                <w:szCs w:val="12"/>
              </w:rPr>
              <w:t>Y = 3ms</w:t>
            </w: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3A756932" w14:textId="77777777" w:rsidR="005950B2" w:rsidRPr="0047424F" w:rsidRDefault="005950B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45518672" w14:textId="77777777" w:rsidR="005950B2" w:rsidRPr="0047424F" w:rsidRDefault="005950B2" w:rsidP="00704657">
            <w:pPr>
              <w:jc w:val="center"/>
              <w:rPr>
                <w:rFonts w:ascii="Calibri" w:eastAsia="Calibri" w:hAnsi="Calibri" w:cs="Calibri"/>
                <w:sz w:val="12"/>
                <w:szCs w:val="12"/>
                <w:lang w:val="sv-SE"/>
              </w:rPr>
            </w:pPr>
          </w:p>
        </w:tc>
        <w:tc>
          <w:tcPr>
            <w:tcW w:w="395" w:type="dxa"/>
            <w:tcBorders>
              <w:top w:val="nil"/>
              <w:left w:val="nil"/>
              <w:bottom w:val="single" w:sz="8" w:space="0" w:color="4472C4"/>
              <w:right w:val="single" w:sz="8" w:space="0" w:color="auto"/>
            </w:tcBorders>
          </w:tcPr>
          <w:p w14:paraId="639F90BD" w14:textId="77777777" w:rsidR="005950B2" w:rsidRPr="0047424F" w:rsidRDefault="005950B2" w:rsidP="00E82BB3">
            <w:pPr>
              <w:jc w:val="center"/>
              <w:rPr>
                <w:rFonts w:ascii="Calibri" w:eastAsia="Calibri" w:hAnsi="Calibri" w:cs="Calibri"/>
                <w:sz w:val="12"/>
                <w:szCs w:val="12"/>
                <w:lang w:val="sv-SE"/>
              </w:rPr>
            </w:pPr>
          </w:p>
        </w:tc>
        <w:tc>
          <w:tcPr>
            <w:tcW w:w="336" w:type="dxa"/>
            <w:gridSpan w:val="2"/>
            <w:tcBorders>
              <w:top w:val="nil"/>
              <w:left w:val="nil"/>
              <w:bottom w:val="single" w:sz="8" w:space="0" w:color="4472C4"/>
              <w:right w:val="single" w:sz="8" w:space="0" w:color="auto"/>
            </w:tcBorders>
          </w:tcPr>
          <w:p w14:paraId="77529272" w14:textId="77777777" w:rsidR="005950B2" w:rsidRDefault="005950B2" w:rsidP="00704657">
            <w:pPr>
              <w:rPr>
                <w:rFonts w:ascii="Calibri" w:eastAsia="Calibri" w:hAnsi="Calibri" w:cs="Calibri"/>
                <w:sz w:val="12"/>
                <w:szCs w:val="12"/>
                <w:lang w:val="sv-SE"/>
              </w:rPr>
            </w:pPr>
          </w:p>
        </w:tc>
        <w:tc>
          <w:tcPr>
            <w:tcW w:w="336" w:type="dxa"/>
            <w:gridSpan w:val="2"/>
            <w:tcBorders>
              <w:top w:val="nil"/>
              <w:left w:val="nil"/>
              <w:bottom w:val="single" w:sz="8" w:space="0" w:color="4472C4"/>
              <w:right w:val="single" w:sz="8" w:space="0" w:color="auto"/>
            </w:tcBorders>
          </w:tcPr>
          <w:p w14:paraId="7B808DE1" w14:textId="74A84B02" w:rsidR="005950B2"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DCFEE2C"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CF0C427"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BA218E2"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4A174BC" w14:textId="77777777" w:rsidR="005950B2" w:rsidRPr="0047424F" w:rsidRDefault="005950B2" w:rsidP="00704657">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10839F2"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3A3D719" w14:textId="77777777" w:rsidR="005950B2" w:rsidRPr="0047424F" w:rsidRDefault="005950B2" w:rsidP="00704657">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F7FC048" w14:textId="77777777" w:rsidR="005950B2" w:rsidRPr="0047424F" w:rsidRDefault="005950B2" w:rsidP="00704657">
            <w:pPr>
              <w:rPr>
                <w:rFonts w:ascii="Calibri" w:eastAsia="Calibri" w:hAnsi="Calibri" w:cs="Calibri"/>
                <w:sz w:val="12"/>
                <w:szCs w:val="12"/>
                <w:lang w:val="sv-SE"/>
              </w:rPr>
            </w:pPr>
          </w:p>
        </w:tc>
        <w:tc>
          <w:tcPr>
            <w:tcW w:w="1062" w:type="dxa"/>
            <w:gridSpan w:val="3"/>
            <w:tcBorders>
              <w:top w:val="nil"/>
              <w:left w:val="nil"/>
              <w:bottom w:val="single" w:sz="8" w:space="0" w:color="4472C4"/>
              <w:right w:val="single" w:sz="8" w:space="0" w:color="auto"/>
            </w:tcBorders>
            <w:tcMar>
              <w:top w:w="0" w:type="dxa"/>
              <w:left w:w="108" w:type="dxa"/>
              <w:bottom w:w="0" w:type="dxa"/>
              <w:right w:w="108" w:type="dxa"/>
            </w:tcMar>
          </w:tcPr>
          <w:p w14:paraId="13F2B08A" w14:textId="52513791" w:rsidR="005950B2" w:rsidRPr="0047424F" w:rsidRDefault="005950B2" w:rsidP="005950B2">
            <w:pPr>
              <w:jc w:val="center"/>
              <w:rPr>
                <w:rFonts w:ascii="Calibri" w:eastAsia="Calibri" w:hAnsi="Calibri" w:cs="Calibri"/>
                <w:sz w:val="12"/>
                <w:szCs w:val="12"/>
                <w:lang w:val="sv-SE"/>
              </w:rPr>
            </w:pPr>
            <w:r>
              <w:rPr>
                <w:rFonts w:ascii="Calibri" w:eastAsia="Calibri" w:hAnsi="Calibri" w:cs="Calibri"/>
                <w:sz w:val="12"/>
                <w:szCs w:val="12"/>
                <w:lang w:val="sv-SE"/>
              </w:rPr>
              <w:t>3m</w:t>
            </w:r>
            <w:r w:rsidR="000916AC">
              <w:rPr>
                <w:rFonts w:ascii="Calibri" w:eastAsia="Calibri" w:hAnsi="Calibri" w:cs="Calibri"/>
                <w:sz w:val="12"/>
                <w:szCs w:val="12"/>
                <w:lang w:val="sv-SE"/>
              </w:rPr>
              <w:t>s</w:t>
            </w:r>
          </w:p>
        </w:tc>
        <w:tc>
          <w:tcPr>
            <w:tcW w:w="379" w:type="dxa"/>
            <w:tcBorders>
              <w:top w:val="nil"/>
              <w:left w:val="nil"/>
              <w:bottom w:val="single" w:sz="8" w:space="0" w:color="4472C4"/>
              <w:right w:val="single" w:sz="8" w:space="0" w:color="auto"/>
            </w:tcBorders>
            <w:tcMar>
              <w:top w:w="0" w:type="dxa"/>
              <w:left w:w="108" w:type="dxa"/>
              <w:bottom w:w="0" w:type="dxa"/>
              <w:right w:w="108" w:type="dxa"/>
            </w:tcMar>
          </w:tcPr>
          <w:p w14:paraId="606B6025" w14:textId="77777777" w:rsidR="005950B2" w:rsidRPr="0047424F" w:rsidRDefault="005950B2" w:rsidP="00704657">
            <w:pPr>
              <w:rPr>
                <w:rFonts w:ascii="Calibri" w:eastAsia="Calibri" w:hAnsi="Calibri" w:cs="Calibri"/>
                <w:sz w:val="12"/>
                <w:szCs w:val="12"/>
                <w:lang w:val="sv-SE"/>
              </w:rPr>
            </w:pPr>
          </w:p>
        </w:tc>
        <w:tc>
          <w:tcPr>
            <w:tcW w:w="444" w:type="dxa"/>
            <w:tcBorders>
              <w:top w:val="nil"/>
              <w:left w:val="nil"/>
              <w:bottom w:val="single" w:sz="8" w:space="0" w:color="4472C4"/>
              <w:right w:val="single" w:sz="8" w:space="0" w:color="auto"/>
            </w:tcBorders>
            <w:tcMar>
              <w:top w:w="0" w:type="dxa"/>
              <w:left w:w="108" w:type="dxa"/>
              <w:bottom w:w="0" w:type="dxa"/>
              <w:right w:w="108" w:type="dxa"/>
            </w:tcMar>
          </w:tcPr>
          <w:p w14:paraId="12544642" w14:textId="77777777" w:rsidR="005950B2" w:rsidRPr="0047424F" w:rsidRDefault="005950B2" w:rsidP="00704657">
            <w:pPr>
              <w:rPr>
                <w:rFonts w:ascii="Calibri" w:eastAsia="Calibri" w:hAnsi="Calibri" w:cs="Calibri"/>
                <w:sz w:val="12"/>
                <w:szCs w:val="12"/>
                <w:lang w:val="sv-SE"/>
              </w:rPr>
            </w:pPr>
          </w:p>
        </w:tc>
        <w:tc>
          <w:tcPr>
            <w:tcW w:w="384" w:type="dxa"/>
            <w:tcBorders>
              <w:top w:val="nil"/>
              <w:left w:val="nil"/>
              <w:bottom w:val="single" w:sz="8" w:space="0" w:color="4472C4"/>
              <w:right w:val="single" w:sz="8" w:space="0" w:color="auto"/>
            </w:tcBorders>
            <w:tcMar>
              <w:top w:w="0" w:type="dxa"/>
              <w:left w:w="108" w:type="dxa"/>
              <w:bottom w:w="0" w:type="dxa"/>
              <w:right w:w="108" w:type="dxa"/>
            </w:tcMar>
          </w:tcPr>
          <w:p w14:paraId="46180B26" w14:textId="77777777" w:rsidR="005950B2" w:rsidRPr="0047424F" w:rsidRDefault="005950B2" w:rsidP="00704657">
            <w:pPr>
              <w:rPr>
                <w:rFonts w:ascii="Calibri" w:eastAsia="Calibri" w:hAnsi="Calibri" w:cs="Calibri"/>
                <w:sz w:val="12"/>
                <w:szCs w:val="12"/>
                <w:lang w:val="sv-SE"/>
              </w:rPr>
            </w:pPr>
          </w:p>
        </w:tc>
        <w:tc>
          <w:tcPr>
            <w:tcW w:w="425" w:type="dxa"/>
            <w:tcBorders>
              <w:top w:val="nil"/>
              <w:left w:val="nil"/>
              <w:bottom w:val="single" w:sz="8" w:space="0" w:color="4472C4"/>
              <w:right w:val="single" w:sz="8" w:space="0" w:color="auto"/>
            </w:tcBorders>
            <w:tcMar>
              <w:top w:w="0" w:type="dxa"/>
              <w:left w:w="108" w:type="dxa"/>
              <w:bottom w:w="0" w:type="dxa"/>
              <w:right w:w="108" w:type="dxa"/>
            </w:tcMar>
          </w:tcPr>
          <w:p w14:paraId="23707AFC" w14:textId="77777777" w:rsidR="005950B2" w:rsidRPr="0047424F" w:rsidRDefault="005950B2" w:rsidP="00704657">
            <w:pPr>
              <w:rPr>
                <w:rFonts w:ascii="Calibri" w:eastAsia="Calibri" w:hAnsi="Calibri" w:cs="Calibri"/>
                <w:sz w:val="12"/>
                <w:szCs w:val="12"/>
                <w:lang w:val="sv-SE"/>
              </w:rPr>
            </w:pPr>
          </w:p>
        </w:tc>
        <w:tc>
          <w:tcPr>
            <w:tcW w:w="415" w:type="dxa"/>
            <w:tcBorders>
              <w:top w:val="nil"/>
              <w:left w:val="nil"/>
              <w:bottom w:val="single" w:sz="8" w:space="0" w:color="4472C4"/>
              <w:right w:val="single" w:sz="8" w:space="0" w:color="auto"/>
            </w:tcBorders>
          </w:tcPr>
          <w:p w14:paraId="2D2AE8A5" w14:textId="77777777" w:rsidR="005950B2" w:rsidRPr="0047424F" w:rsidRDefault="005950B2" w:rsidP="00704657">
            <w:pPr>
              <w:rPr>
                <w:rFonts w:ascii="Calibri" w:eastAsia="Calibri" w:hAnsi="Calibri" w:cs="Calibri"/>
                <w:sz w:val="12"/>
                <w:szCs w:val="12"/>
                <w:lang w:val="sv-SE"/>
              </w:rPr>
            </w:pPr>
          </w:p>
        </w:tc>
      </w:tr>
    </w:tbl>
    <w:p w14:paraId="6CF6420B" w14:textId="77777777" w:rsidR="00E82BB3" w:rsidRDefault="00E82BB3" w:rsidP="00E82BB3">
      <w:pPr>
        <w:jc w:val="both"/>
      </w:pPr>
    </w:p>
    <w:p w14:paraId="21087BD3" w14:textId="3E475BEB" w:rsidR="00E82BB3" w:rsidRDefault="00670AA3" w:rsidP="00085E3C">
      <w:pPr>
        <w:jc w:val="both"/>
      </w:pPr>
      <w:r>
        <w:t>From the diagram above we can see that using “HARQ-ACK bundling”</w:t>
      </w:r>
      <w:r w:rsidR="000916AC">
        <w:t>,</w:t>
      </w:r>
      <w:r>
        <w:t xml:space="preserve"> PUCCH#0 can contain the ACKs/NACKs of HARQ processes #0</w:t>
      </w:r>
      <w:r w:rsidR="000916AC">
        <w:t>, #1,</w:t>
      </w:r>
      <w:r>
        <w:t xml:space="preserve"> and </w:t>
      </w:r>
      <w:r w:rsidR="000916AC">
        <w:t>2</w:t>
      </w:r>
      <w:r>
        <w:t xml:space="preserve"> and therefore the subsequent MPDCCH scheduling for HARQ process# </w:t>
      </w:r>
      <w:r w:rsidR="000916AC">
        <w:t>3</w:t>
      </w:r>
      <w:r>
        <w:t xml:space="preserve"> </w:t>
      </w:r>
      <w:r w:rsidR="00EB126D">
        <w:t xml:space="preserve">and the other HARQ processes </w:t>
      </w:r>
      <w:r w:rsidR="000916AC">
        <w:t xml:space="preserve">can occur </w:t>
      </w:r>
      <w:r w:rsidR="00DC7D12">
        <w:t>from</w:t>
      </w:r>
      <w:r w:rsidR="000916AC">
        <w:t xml:space="preserve"> subframe</w:t>
      </w:r>
      <w:r>
        <w:t xml:space="preserve"> #15 onwards. However</w:t>
      </w:r>
      <w:r w:rsidR="000916AC">
        <w:t xml:space="preserve">, there will be a </w:t>
      </w:r>
      <w:r w:rsidR="004637D1">
        <w:t>Tx/</w:t>
      </w:r>
      <w:r w:rsidR="000916AC">
        <w:t xml:space="preserve">Rx conflict </w:t>
      </w:r>
      <w:r w:rsidR="006B4DCD">
        <w:t xml:space="preserve">if no “HARQ-ACK bundling </w:t>
      </w:r>
      <w:r w:rsidR="000916AC">
        <w:t>is</w:t>
      </w:r>
      <w:r w:rsidR="006B4DCD">
        <w:t xml:space="preserve"> used”</w:t>
      </w:r>
      <w:r w:rsidR="000916AC">
        <w:t xml:space="preserve">. Moreover, </w:t>
      </w:r>
      <w:bookmarkStart w:id="45" w:name="_Hlk114042589"/>
      <w:r w:rsidR="000916AC">
        <w:t xml:space="preserve">even </w:t>
      </w:r>
      <w:r w:rsidR="004637D1">
        <w:t xml:space="preserve">using </w:t>
      </w:r>
      <w:r w:rsidR="000916AC">
        <w:t>only one HARQ process</w:t>
      </w:r>
      <w:r w:rsidR="004637D1">
        <w:t xml:space="preserve"> </w:t>
      </w:r>
      <w:r w:rsidR="00932CF3">
        <w:t xml:space="preserve">with </w:t>
      </w:r>
      <w:r w:rsidR="000916AC">
        <w:t xml:space="preserve">“HARQ feedback enabled” </w:t>
      </w:r>
      <w:r w:rsidR="004637D1">
        <w:t>along</w:t>
      </w:r>
      <w:r w:rsidR="000916AC">
        <w:t xml:space="preserve"> with </w:t>
      </w:r>
      <w:r w:rsidR="00FA4802">
        <w:t xml:space="preserve">PUCCH </w:t>
      </w:r>
      <w:r w:rsidR="000916AC">
        <w:t>repetitions can lead to a</w:t>
      </w:r>
      <w:r w:rsidR="004637D1">
        <w:t>n</w:t>
      </w:r>
      <w:r w:rsidR="000916AC">
        <w:t xml:space="preserve"> Rx/Tx conflict</w:t>
      </w:r>
      <w:r w:rsidR="008C5526">
        <w:t xml:space="preserve"> or no time for performing an UL-to-DL switching</w:t>
      </w:r>
      <w:bookmarkEnd w:id="45"/>
      <w:r w:rsidR="008C5526">
        <w:t>.</w:t>
      </w:r>
    </w:p>
    <w:p w14:paraId="2B2DD066" w14:textId="35A60E08" w:rsidR="00A71EE5" w:rsidRPr="003B154E" w:rsidRDefault="00A71EE5" w:rsidP="00A71EE5">
      <w:pPr>
        <w:pStyle w:val="Heading3"/>
      </w:pPr>
      <w:r>
        <w:t>4.2.2</w:t>
      </w:r>
      <w:r>
        <w:tab/>
      </w:r>
      <w:r w:rsidR="0017236D">
        <w:t>Summary</w:t>
      </w:r>
      <w:r w:rsidR="0071280A">
        <w:t xml:space="preserve">: </w:t>
      </w:r>
      <w:r>
        <w:t xml:space="preserve">LTE-MTC scenario where “HARQ feedback” </w:t>
      </w:r>
      <w:r w:rsidRPr="00A71EE5">
        <w:t>is enabled for some HARQ processes and disabled for</w:t>
      </w:r>
      <w:r w:rsidR="00B25C9D">
        <w:t xml:space="preserve"> the </w:t>
      </w:r>
      <w:r w:rsidRPr="00A71EE5">
        <w:t>other</w:t>
      </w:r>
      <w:r w:rsidR="00B25C9D">
        <w:t xml:space="preserve"> ones</w:t>
      </w:r>
    </w:p>
    <w:p w14:paraId="17A0A509" w14:textId="3B0DDE93" w:rsidR="002B2AB7" w:rsidRDefault="00A71EE5" w:rsidP="002B2AB7">
      <w:pPr>
        <w:jc w:val="both"/>
      </w:pPr>
      <w:r>
        <w:t xml:space="preserve">Based on the analysis </w:t>
      </w:r>
      <w:r w:rsidR="004637D1">
        <w:t xml:space="preserve">performed </w:t>
      </w:r>
      <w:r>
        <w:t>on 4.</w:t>
      </w:r>
      <w:r w:rsidR="004637D1">
        <w:t>2</w:t>
      </w:r>
      <w:r>
        <w:t>.1 we have the following observations and proposals:</w:t>
      </w:r>
    </w:p>
    <w:p w14:paraId="3E39CE54" w14:textId="77777777" w:rsidR="002B2AB7" w:rsidRDefault="002B2AB7" w:rsidP="002B2AB7">
      <w:pPr>
        <w:jc w:val="both"/>
      </w:pPr>
    </w:p>
    <w:p w14:paraId="4AAD3C3D" w14:textId="7E8EDDCA" w:rsidR="002B2AB7" w:rsidRDefault="002B2AB7" w:rsidP="002B2AB7">
      <w:pPr>
        <w:pStyle w:val="Observation"/>
        <w:ind w:left="1701" w:hanging="1701"/>
      </w:pPr>
      <w:bookmarkStart w:id="46" w:name="_Toc115380702"/>
      <w:r>
        <w:t xml:space="preserve">When there is more than one HARQ process in use, towards receiving subsequent scheduling for the HARQ processes with disabled “HARQ feedback”, </w:t>
      </w:r>
      <w:r w:rsidRPr="004637D1">
        <w:t xml:space="preserve">even only one HARQ process with “HARQ feedback enabled” </w:t>
      </w:r>
      <w:r>
        <w:t>using</w:t>
      </w:r>
      <w:r w:rsidRPr="004637D1">
        <w:t xml:space="preserve"> </w:t>
      </w:r>
      <w:r>
        <w:t xml:space="preserve">PUCCH </w:t>
      </w:r>
      <w:r w:rsidRPr="004637D1">
        <w:t>repetitions can lead to a</w:t>
      </w:r>
      <w:r>
        <w:t>n</w:t>
      </w:r>
      <w:r w:rsidRPr="004637D1">
        <w:t xml:space="preserve"> Rx/Tx conflict or no time for performing an UL-to-DL switching</w:t>
      </w:r>
      <w:r>
        <w:t>.</w:t>
      </w:r>
      <w:bookmarkEnd w:id="46"/>
    </w:p>
    <w:p w14:paraId="72ECD430" w14:textId="34F6BEB1" w:rsidR="002B2AB7" w:rsidRDefault="002B2AB7" w:rsidP="002B2AB7">
      <w:pPr>
        <w:pStyle w:val="Observation"/>
        <w:ind w:left="1701" w:hanging="1701"/>
      </w:pPr>
      <w:bookmarkStart w:id="47" w:name="_Toc115380703"/>
      <w:r>
        <w:t xml:space="preserve">When there is more than one HARQ process in use, even if no PUCCH repetitions were used for </w:t>
      </w:r>
      <w:r w:rsidR="00EB126D">
        <w:t xml:space="preserve">the </w:t>
      </w:r>
      <w:r>
        <w:t>“HARQ processes” with enabled “HARQ feedback”:</w:t>
      </w:r>
      <w:bookmarkEnd w:id="47"/>
    </w:p>
    <w:p w14:paraId="02952216" w14:textId="77777777" w:rsidR="002B2AB7" w:rsidRDefault="002B2AB7" w:rsidP="002B2AB7">
      <w:pPr>
        <w:pStyle w:val="Observation"/>
        <w:numPr>
          <w:ilvl w:val="0"/>
          <w:numId w:val="29"/>
        </w:numPr>
      </w:pPr>
      <w:bookmarkStart w:id="48" w:name="_Toc115380704"/>
      <w:r>
        <w:t>As few as two “HARQ processes” with enabled “HARQ feedback” and no “HARQ-ACK bundling” will result in not enough time for performing an UL-to-DL switching.</w:t>
      </w:r>
      <w:bookmarkEnd w:id="48"/>
    </w:p>
    <w:p w14:paraId="2E496828" w14:textId="77777777" w:rsidR="002B2AB7" w:rsidRDefault="002B2AB7" w:rsidP="002B2AB7">
      <w:pPr>
        <w:pStyle w:val="Observation"/>
        <w:numPr>
          <w:ilvl w:val="0"/>
          <w:numId w:val="29"/>
        </w:numPr>
      </w:pPr>
      <w:bookmarkStart w:id="49" w:name="_Toc115380705"/>
      <w:r>
        <w:lastRenderedPageBreak/>
        <w:t>As few as three “HARQ processes” with enabled “HARQ feedback” and no “HARQ-ACK bundling” will result in an Rx/Tx conflict.</w:t>
      </w:r>
      <w:bookmarkEnd w:id="49"/>
    </w:p>
    <w:p w14:paraId="512D88EB" w14:textId="199853B7" w:rsidR="002B2AB7" w:rsidRDefault="002B2AB7" w:rsidP="002B2AB7">
      <w:pPr>
        <w:pStyle w:val="Proposal"/>
      </w:pPr>
      <w:bookmarkStart w:id="50" w:name="_Toc115380718"/>
      <w:r>
        <w:t xml:space="preserve">For LTE-MTC when there </w:t>
      </w:r>
      <w:r w:rsidR="000449B4">
        <w:t>is</w:t>
      </w:r>
      <w:r>
        <w:t xml:space="preserve"> more than one HARQ process in use, and</w:t>
      </w:r>
      <w:r w:rsidRPr="004913EF">
        <w:t xml:space="preserve"> “HARQ feedback” is enabled for </w:t>
      </w:r>
      <w:r>
        <w:t xml:space="preserve">at least </w:t>
      </w:r>
      <w:r w:rsidRPr="004913EF">
        <w:t xml:space="preserve">one </w:t>
      </w:r>
      <w:r>
        <w:t xml:space="preserve">among all </w:t>
      </w:r>
      <w:r w:rsidRPr="004913EF">
        <w:t>HARQ processes</w:t>
      </w:r>
      <w:r>
        <w:t>, then to avoid an Rx/Tx conflict RAN1 down-selects between:</w:t>
      </w:r>
      <w:bookmarkEnd w:id="50"/>
    </w:p>
    <w:p w14:paraId="5AEA8DAA" w14:textId="77777777" w:rsidR="002B2AB7" w:rsidRDefault="002B2AB7" w:rsidP="002B2AB7">
      <w:pPr>
        <w:pStyle w:val="Proposal"/>
        <w:numPr>
          <w:ilvl w:val="0"/>
          <w:numId w:val="28"/>
        </w:numPr>
      </w:pPr>
      <w:bookmarkStart w:id="51" w:name="_Toc115380719"/>
      <w:r>
        <w:t xml:space="preserve">Alt-1: If at least </w:t>
      </w:r>
      <w:r w:rsidRPr="004913EF">
        <w:t xml:space="preserve">one </w:t>
      </w:r>
      <w:r>
        <w:t xml:space="preserve">among all the </w:t>
      </w:r>
      <w:r w:rsidRPr="004913EF">
        <w:t>HARQ process</w:t>
      </w:r>
      <w:r>
        <w:t xml:space="preserve"> in use</w:t>
      </w:r>
      <w:r w:rsidRPr="004913EF">
        <w:t xml:space="preserve"> has been required to have </w:t>
      </w:r>
      <w:r>
        <w:t>“</w:t>
      </w:r>
      <w:r w:rsidRPr="004913EF">
        <w:t>HARQ feedback enabled</w:t>
      </w:r>
      <w:r>
        <w:t>”</w:t>
      </w:r>
      <w:r w:rsidRPr="004913EF">
        <w:t xml:space="preserve"> and hence </w:t>
      </w:r>
      <w:r>
        <w:t>PUCCH</w:t>
      </w:r>
      <w:r w:rsidRPr="004913EF">
        <w:t xml:space="preserve"> must be transmitted, then by default </w:t>
      </w:r>
      <w:r>
        <w:t>an “</w:t>
      </w:r>
      <w:r w:rsidRPr="004913EF">
        <w:t>ACK</w:t>
      </w:r>
      <w:r>
        <w:t>”</w:t>
      </w:r>
      <w:r w:rsidRPr="004913EF">
        <w:t xml:space="preserve"> </w:t>
      </w:r>
      <w:r>
        <w:t>is</w:t>
      </w:r>
      <w:r w:rsidRPr="004913EF">
        <w:t xml:space="preserve"> generated for </w:t>
      </w:r>
      <w:r>
        <w:t xml:space="preserve">the </w:t>
      </w:r>
      <w:r w:rsidRPr="004913EF">
        <w:t>HARQ processes</w:t>
      </w:r>
      <w:r>
        <w:t xml:space="preserve"> with “</w:t>
      </w:r>
      <w:r w:rsidRPr="004913EF">
        <w:t xml:space="preserve">HARQ feedback </w:t>
      </w:r>
      <w:r>
        <w:t>dis</w:t>
      </w:r>
      <w:r w:rsidRPr="004913EF">
        <w:t>abled</w:t>
      </w:r>
      <w:r>
        <w:t>”</w:t>
      </w:r>
      <w:r w:rsidRPr="004913EF">
        <w:t xml:space="preserve">, and the legacy procedure </w:t>
      </w:r>
      <w:r>
        <w:t xml:space="preserve">to transmit PUCCH </w:t>
      </w:r>
      <w:r w:rsidRPr="004913EF">
        <w:t>is followed for all HARQ processes</w:t>
      </w:r>
      <w:r>
        <w:t>.</w:t>
      </w:r>
      <w:bookmarkEnd w:id="51"/>
    </w:p>
    <w:p w14:paraId="73499AFB" w14:textId="0D722A6F" w:rsidR="002B2AB7" w:rsidRDefault="002B2AB7" w:rsidP="002B2AB7">
      <w:pPr>
        <w:pStyle w:val="Proposal"/>
        <w:numPr>
          <w:ilvl w:val="0"/>
          <w:numId w:val="28"/>
        </w:numPr>
      </w:pPr>
      <w:bookmarkStart w:id="52" w:name="_Toc115380720"/>
      <w:r>
        <w:t>Alt-2: If at least one</w:t>
      </w:r>
      <w:r w:rsidRPr="004913EF">
        <w:t xml:space="preserve"> </w:t>
      </w:r>
      <w:r>
        <w:t xml:space="preserve">among all the </w:t>
      </w:r>
      <w:r w:rsidRPr="004913EF">
        <w:t>HARQ process</w:t>
      </w:r>
      <w:r>
        <w:t xml:space="preserve"> in use</w:t>
      </w:r>
      <w:r w:rsidRPr="004913EF">
        <w:t xml:space="preserve"> has been required to have </w:t>
      </w:r>
      <w:r>
        <w:t>“</w:t>
      </w:r>
      <w:r w:rsidRPr="004913EF">
        <w:t>HARQ feedback enabled</w:t>
      </w:r>
      <w:r>
        <w:t>”</w:t>
      </w:r>
      <w:r w:rsidRPr="004913EF">
        <w:t xml:space="preserve"> and hence </w:t>
      </w:r>
      <w:r>
        <w:t>PUCCH</w:t>
      </w:r>
      <w:r w:rsidRPr="004913EF">
        <w:t xml:space="preserve"> must be transmitted, </w:t>
      </w:r>
      <w:r>
        <w:t xml:space="preserve">to keep the “disabling approach” for the “HARQ process(es) with disabled feedback” (i.e., without incurring in </w:t>
      </w:r>
      <w:r w:rsidR="001E3242">
        <w:t xml:space="preserve">an </w:t>
      </w:r>
      <w:r>
        <w:t>Rx/Tx issue) then:</w:t>
      </w:r>
      <w:bookmarkEnd w:id="52"/>
    </w:p>
    <w:p w14:paraId="6757BD5D" w14:textId="357CAE59" w:rsidR="002B2AB7" w:rsidRDefault="002B2AB7" w:rsidP="002B2AB7">
      <w:pPr>
        <w:pStyle w:val="Proposal"/>
        <w:numPr>
          <w:ilvl w:val="1"/>
          <w:numId w:val="28"/>
        </w:numPr>
      </w:pPr>
      <w:bookmarkStart w:id="53" w:name="_Toc115380721"/>
      <w:r>
        <w:t>To the 3</w:t>
      </w:r>
      <w:r w:rsidRPr="00C820BB">
        <w:t>ms “</w:t>
      </w:r>
      <w:r w:rsidRPr="00C820BB">
        <w:rPr>
          <w:i/>
          <w:iCs/>
        </w:rPr>
        <w:t>from the end of reception of the last PDSCH</w:t>
      </w:r>
      <w:r w:rsidRPr="00C820BB">
        <w:t>”</w:t>
      </w:r>
      <w:r>
        <w:t xml:space="preserve"> we account for the location of PUCCH, we add the legacy variable that accounts for PUCCH repetitions, the number PUCCHs, plus 1ms for UL-to-DL switching (</w:t>
      </w:r>
      <w:r w:rsidR="00207A8A">
        <w:t>when</w:t>
      </w:r>
      <w:r>
        <w:t xml:space="preserve"> needed</w:t>
      </w:r>
      <w:r w:rsidR="001E3242">
        <w:t xml:space="preserve"> depending on the location of PUCCH</w:t>
      </w:r>
      <w:r>
        <w:t xml:space="preserve">). That is: “Y = (3-floor(1/x) + </w:t>
      </w:r>
      <w:r w:rsidRPr="00682FE0">
        <w:t xml:space="preserve">pucch-NumRepetitionCE </w:t>
      </w:r>
      <w:r>
        <w:t>(#PUCCHs) + floor(x/3)” in ms.</w:t>
      </w:r>
      <w:bookmarkEnd w:id="53"/>
      <w:r>
        <w:t xml:space="preserve"> </w:t>
      </w:r>
    </w:p>
    <w:p w14:paraId="1E2082E6" w14:textId="03D054E6" w:rsidR="002B2AB7" w:rsidRDefault="002B2AB7" w:rsidP="002B2AB7">
      <w:pPr>
        <w:pStyle w:val="Proposal"/>
        <w:numPr>
          <w:ilvl w:val="0"/>
          <w:numId w:val="0"/>
        </w:numPr>
        <w:ind w:left="3141"/>
      </w:pPr>
      <w:bookmarkStart w:id="54" w:name="_Toc115380722"/>
      <w:r>
        <w:t xml:space="preserve">Where x = number of milliseconds </w:t>
      </w:r>
      <w:r w:rsidRPr="00C820BB">
        <w:t>“</w:t>
      </w:r>
      <w:r w:rsidRPr="002B2AB7">
        <w:rPr>
          <w:i/>
          <w:iCs/>
        </w:rPr>
        <w:t>from the end of reception of the last PDSCH</w:t>
      </w:r>
      <w:r w:rsidRPr="00C820BB">
        <w:t>”</w:t>
      </w:r>
      <w:r>
        <w:t xml:space="preserve"> till the subframe before the first transmitted PUCCH</w:t>
      </w:r>
      <w:r w:rsidR="000449B4">
        <w:t>.</w:t>
      </w:r>
      <w:bookmarkEnd w:id="54"/>
    </w:p>
    <w:p w14:paraId="38F951D6" w14:textId="6905EE10" w:rsidR="000B5081" w:rsidRDefault="001E3242" w:rsidP="002B2AB7">
      <w:pPr>
        <w:jc w:val="both"/>
      </w:pPr>
      <w:r>
        <w:t xml:space="preserve">In </w:t>
      </w:r>
      <w:hyperlink w:anchor="_6_Annex_1:" w:history="1">
        <w:r w:rsidRPr="00FB79DD">
          <w:rPr>
            <w:rStyle w:val="Hyperlink"/>
          </w:rPr>
          <w:t>Annex 1</w:t>
        </w:r>
      </w:hyperlink>
      <w:r>
        <w:t xml:space="preserve"> we provide two examples where </w:t>
      </w:r>
      <w:r w:rsidRPr="001E3242">
        <w:t>“Y = (3-floor(1/x) + pucch-NumRepetitionCE (#PUCCHs) + floor(x/3)</w:t>
      </w:r>
      <w:r w:rsidR="003D2B99">
        <w:t xml:space="preserve"> </w:t>
      </w:r>
      <w:r w:rsidRPr="001E3242">
        <w:t>in ms</w:t>
      </w:r>
      <w:r w:rsidR="003D2B99">
        <w:t>”</w:t>
      </w:r>
      <w:r>
        <w:t xml:space="preserve"> </w:t>
      </w:r>
      <w:r w:rsidR="003D2B99">
        <w:t xml:space="preserve">is used </w:t>
      </w:r>
      <w:r>
        <w:t>to keep the disabling approach without incurring in an Rx/Tx issue.</w:t>
      </w:r>
    </w:p>
    <w:p w14:paraId="5300F849" w14:textId="2153E77B" w:rsidR="00C01F33" w:rsidRPr="00CE0424" w:rsidRDefault="00BB5192"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5" w:name="_In-sequence_SDU_delivery"/>
    <w:bookmarkEnd w:id="55"/>
    <w:p w14:paraId="20BD6F8D" w14:textId="519A2AC0" w:rsidR="00325AE9"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5380675" w:history="1">
        <w:r w:rsidR="00325AE9" w:rsidRPr="00563CD6">
          <w:rPr>
            <w:rStyle w:val="Hyperlink"/>
            <w:noProof/>
          </w:rPr>
          <w:t>Observation 1</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To indicate whether HARQ feedback is enabled/disabled for “LTE-MTC over NTN”, the following advantages have been identified if dynamic signalling via DCI is used:</w:t>
        </w:r>
      </w:hyperlink>
    </w:p>
    <w:p w14:paraId="1E6D45AC" w14:textId="61FFD779"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76"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In legacy, the “</w:t>
        </w:r>
        <w:r w:rsidR="00325AE9" w:rsidRPr="00563CD6">
          <w:rPr>
            <w:rStyle w:val="Hyperlink"/>
            <w:i/>
            <w:iCs/>
            <w:noProof/>
          </w:rPr>
          <w:t>HARQ process number</w:t>
        </w:r>
        <w:r w:rsidR="00325AE9" w:rsidRPr="00563CD6">
          <w:rPr>
            <w:rStyle w:val="Hyperlink"/>
            <w:noProof/>
          </w:rPr>
          <w:t>” is indicated via DCI in both CE Mode A and B, thus as complementary information it can be indicated whether such “</w:t>
        </w:r>
        <w:r w:rsidR="00325AE9" w:rsidRPr="00563CD6">
          <w:rPr>
            <w:rStyle w:val="Hyperlink"/>
            <w:i/>
            <w:iCs/>
            <w:noProof/>
          </w:rPr>
          <w:t>HARQ process number</w:t>
        </w:r>
        <w:r w:rsidR="00325AE9" w:rsidRPr="00563CD6">
          <w:rPr>
            <w:rStyle w:val="Hyperlink"/>
            <w:noProof/>
          </w:rPr>
          <w:t>” will use HARQ feedback enabled/disabled.</w:t>
        </w:r>
      </w:hyperlink>
    </w:p>
    <w:p w14:paraId="61169BF8" w14:textId="4B54E143"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77"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Dynamic signalling will allow adapting faster to changes/variations in the IoT-NTN scenarios. Otherwise, RRC signalling requires performing first a re-configuration to enabling/disabling HARQ feedback before being able to act on the needs of a given scenario.</w:t>
        </w:r>
      </w:hyperlink>
    </w:p>
    <w:p w14:paraId="3B6A53AF" w14:textId="0A344E66"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78" w:history="1">
        <w:r w:rsidR="00325AE9" w:rsidRPr="00563CD6">
          <w:rPr>
            <w:rStyle w:val="Hyperlink"/>
            <w:noProof/>
          </w:rPr>
          <w:t>Observation 2</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To indicate whether HARQ feedback is enabled/disabled for “NB-IoT over NTN”, the following advantages have been identified if dynamic signalling via DCI is used:</w:t>
        </w:r>
      </w:hyperlink>
    </w:p>
    <w:p w14:paraId="79192B33" w14:textId="6FE1EB7D"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79"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In legacy, the “</w:t>
        </w:r>
        <w:r w:rsidR="00325AE9" w:rsidRPr="00563CD6">
          <w:rPr>
            <w:rStyle w:val="Hyperlink"/>
            <w:i/>
            <w:iCs/>
            <w:noProof/>
          </w:rPr>
          <w:t>HARQ process number</w:t>
        </w:r>
        <w:r w:rsidR="00325AE9" w:rsidRPr="00563CD6">
          <w:rPr>
            <w:rStyle w:val="Hyperlink"/>
            <w:noProof/>
          </w:rPr>
          <w:t>” is indicated via DCI Format N1, thus as complementary information it can be indicated whether such “</w:t>
        </w:r>
        <w:r w:rsidR="00325AE9" w:rsidRPr="00563CD6">
          <w:rPr>
            <w:rStyle w:val="Hyperlink"/>
            <w:i/>
            <w:iCs/>
            <w:noProof/>
          </w:rPr>
          <w:t>HARQ process number</w:t>
        </w:r>
        <w:r w:rsidR="00325AE9" w:rsidRPr="00563CD6">
          <w:rPr>
            <w:rStyle w:val="Hyperlink"/>
            <w:noProof/>
          </w:rPr>
          <w:t>” will use HARQ feedback enabled/disabled.</w:t>
        </w:r>
      </w:hyperlink>
    </w:p>
    <w:p w14:paraId="559B406F" w14:textId="1FBBB3E9"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80"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Dynamic signalling will allow adapting faster to changes/variations in the IoT-NTN scenarios. Otherwise, RRC signalling requires performing first a re-configuration to enabling/disabling HARQ feedback before being able to act on the needs of a given scenario.</w:t>
        </w:r>
      </w:hyperlink>
    </w:p>
    <w:p w14:paraId="4003B45F" w14:textId="193E3215"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81" w:history="1">
        <w:r w:rsidR="00325AE9" w:rsidRPr="00563CD6">
          <w:rPr>
            <w:rStyle w:val="Hyperlink"/>
            <w:noProof/>
          </w:rPr>
          <w:t>Observation 3</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HARQ feedback is disabled and NPUSCH Format 2 is not transmitted, one key design aspect is the point in time at which DL monitoring will be allowed to start towards receiving the subsequent NPDCCH scheduling data.</w:t>
        </w:r>
      </w:hyperlink>
    </w:p>
    <w:p w14:paraId="692B7661" w14:textId="53D67F58"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82" w:history="1">
        <w:r w:rsidR="00325AE9" w:rsidRPr="00563CD6">
          <w:rPr>
            <w:rStyle w:val="Hyperlink"/>
            <w:noProof/>
          </w:rPr>
          <w:t>Observation 4</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 xml:space="preserve">In legacy, there is a delay between the “NPDCCH and the scheduled NPDSCH”, afterwards there is at least a 12 ms delay between the end of NPDSCH and the start </w:t>
        </w:r>
        <w:r w:rsidR="00325AE9" w:rsidRPr="00563CD6">
          <w:rPr>
            <w:rStyle w:val="Hyperlink"/>
            <w:noProof/>
          </w:rPr>
          <w:lastRenderedPageBreak/>
          <w:t>of NPUSCH Format 2 which accounts for sufficient NPDSCH decoding time at the device.</w:t>
        </w:r>
      </w:hyperlink>
    </w:p>
    <w:p w14:paraId="43694739" w14:textId="41352919"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83"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Thus, when HARQ feedback is disabled the earliest the DL monitoring should start is precisely the subframe at which NPUSCH Format 2 would be otherwise transmitted.</w:t>
        </w:r>
      </w:hyperlink>
    </w:p>
    <w:p w14:paraId="38DE2355" w14:textId="7067B14A"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84"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Legacy delays are an important part of what makes the IoT technologies having a low complexity and a low cost.</w:t>
        </w:r>
      </w:hyperlink>
    </w:p>
    <w:p w14:paraId="3CFE549D" w14:textId="64C74C5C"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85" w:history="1">
        <w:r w:rsidR="00325AE9" w:rsidRPr="00563CD6">
          <w:rPr>
            <w:rStyle w:val="Hyperlink"/>
            <w:noProof/>
          </w:rPr>
          <w:t>Observation 5</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are two HARQ processes in use, the disabling approach as per “Option 1” sets the starting point (according with 12ms) for the subsequent transmission of the first HARQ processes but puts an unnecessary restriction on the subsequent scheduling of the second HARQ process.</w:t>
        </w:r>
      </w:hyperlink>
    </w:p>
    <w:p w14:paraId="0400D19F" w14:textId="62E83857"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86" w:history="1">
        <w:r w:rsidR="00325AE9" w:rsidRPr="00563CD6">
          <w:rPr>
            <w:rStyle w:val="Hyperlink"/>
            <w:noProof/>
          </w:rPr>
          <w:t>Observation 6</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are two HARQ processes in use, the disabling approach as per “Option 2” sets the starting point (according with 12ms) for the subsequent transmission of the first HARQ processes and leaves up to the eNodeB the scheduling of the second HARQ process.</w:t>
        </w:r>
      </w:hyperlink>
    </w:p>
    <w:p w14:paraId="2E767849" w14:textId="31E27C89"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87" w:history="1">
        <w:r w:rsidR="00325AE9" w:rsidRPr="00563CD6">
          <w:rPr>
            <w:rStyle w:val="Hyperlink"/>
            <w:noProof/>
          </w:rPr>
          <w:t>Observation 7</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The “legacy statement” in TS 36.213 clause 16.6 when “</w:t>
        </w:r>
        <w:r w:rsidR="00325AE9" w:rsidRPr="00563CD6">
          <w:rPr>
            <w:rStyle w:val="Hyperlink"/>
            <w:i/>
            <w:iCs/>
            <w:noProof/>
          </w:rPr>
          <w:t>the UE is not required to transmit a corresponding NPUSCH format 2</w:t>
        </w:r>
        <w:r w:rsidR="00325AE9" w:rsidRPr="00563CD6">
          <w:rPr>
            <w:rStyle w:val="Hyperlink"/>
            <w:noProof/>
          </w:rPr>
          <w:t>” is similar to “Option 1”, however “Option 1” explicitly mentions “for that HARQ process” whereas the “legacy statement” doesn’t mention it, which makes them different.</w:t>
        </w:r>
      </w:hyperlink>
    </w:p>
    <w:p w14:paraId="11F152DA" w14:textId="501AF60F"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88" w:history="1">
        <w:r w:rsidR="00325AE9" w:rsidRPr="00563CD6">
          <w:rPr>
            <w:rStyle w:val="Hyperlink"/>
            <w:noProof/>
          </w:rPr>
          <w:t>Observation 8</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are two HARQ processes in use with “HARQ feedback disabled”, the “legacy statement” in TS 36.213 clause 16.6 extends the DL monitoring towards the subsequent transmission of NPDCCH for the first HARQ processes.</w:t>
        </w:r>
      </w:hyperlink>
    </w:p>
    <w:p w14:paraId="72042FDD" w14:textId="0737FF59"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89"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This happens because the no-monitoring period for the first HARQ process ends-up “semi-overlapped and concatenated” with the no-monitoring period for the second HARQ process. This behaviour occurs because the “legacy statement” was tailor-made for a “single HARQ process scenario”. Somehow the result of the “legacy statement” (coincidentally because of the “semi-overlapped concatenation”) in the end happens to mimic “option 2”.</w:t>
        </w:r>
      </w:hyperlink>
    </w:p>
    <w:p w14:paraId="25AD13BE" w14:textId="13AD18D3"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0" w:history="1">
        <w:r w:rsidR="00325AE9" w:rsidRPr="00563CD6">
          <w:rPr>
            <w:rStyle w:val="Hyperlink"/>
            <w:noProof/>
          </w:rPr>
          <w:t>Observation 9</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Upon comparing “Option 1”, “Option 2”, and the “legacy statement in TS 36.213 clause 16.6 when the UE is not required to transmit a corresponding NPUSCH format 2”, it seems that “Option 2” resembles the expected UE behaviour when the “Disabling of HARQ feedback” approach is in place.</w:t>
        </w:r>
      </w:hyperlink>
    </w:p>
    <w:p w14:paraId="7BDB2D92" w14:textId="338FEA51"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1" w:history="1">
        <w:r w:rsidR="00325AE9" w:rsidRPr="00563CD6">
          <w:rPr>
            <w:rStyle w:val="Hyperlink"/>
            <w:noProof/>
          </w:rPr>
          <w:t>Observation 10</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HARQ feedback is disabled and PUCCH is not transmitted, one key design aspect is the point in time at which DL monitoring will be allowed to start towards receiving the subsequent MPDCCH scheduling data.</w:t>
        </w:r>
      </w:hyperlink>
    </w:p>
    <w:p w14:paraId="22703A2B" w14:textId="79AAAEAF"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2" w:history="1">
        <w:r w:rsidR="00325AE9" w:rsidRPr="00563CD6">
          <w:rPr>
            <w:rStyle w:val="Hyperlink"/>
            <w:noProof/>
          </w:rPr>
          <w:t>Observation 11</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In legacy, there is a delay between the “MPDCCH and the scheduled PDSCH”, afterwards there is at least a 3 ms delay between the end of PDSCH and the start of PUCCH which accounts for sufficient PDSCH decoding time at the device.</w:t>
        </w:r>
      </w:hyperlink>
    </w:p>
    <w:p w14:paraId="46744E79" w14:textId="24C0C968"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93"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Thus, when HARQ feedback is disabled, the earliest the DL monitoring should start is precisely the subframe at which PUCCH would be otherwise transmitted.</w:t>
        </w:r>
      </w:hyperlink>
    </w:p>
    <w:p w14:paraId="76F36367" w14:textId="5065CF96"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94"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Legacy delays are an important part of what makes the IoT technologies have a low complexity and a low cost.</w:t>
        </w:r>
      </w:hyperlink>
    </w:p>
    <w:p w14:paraId="72395263" w14:textId="6E4F4EE3"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5" w:history="1">
        <w:r w:rsidR="00325AE9" w:rsidRPr="00563CD6">
          <w:rPr>
            <w:rStyle w:val="Hyperlink"/>
            <w:noProof/>
          </w:rPr>
          <w:t>Observation 12</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is more than one HARQ process in use, the disabling approach as per “Option 2” sets the starting point (according with 3ms) for the subsequent transmission of the first HARQ process and leaves up to the eNodeB scheduling the subsequent transmissions of the other HARQ processes.</w:t>
        </w:r>
      </w:hyperlink>
    </w:p>
    <w:p w14:paraId="1C1A966E" w14:textId="4F0976C0"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6" w:history="1">
        <w:r w:rsidR="00325AE9" w:rsidRPr="00563CD6">
          <w:rPr>
            <w:rStyle w:val="Hyperlink"/>
            <w:noProof/>
          </w:rPr>
          <w:t>Observation 13</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Given that enabling/disabling HARQ feedback will be supported for IoT-NTN, how to handle a mixed scenario where “HARQ feedback” is enabled for some HARQ processes and disabled for some other ones needs to be addressed.</w:t>
        </w:r>
      </w:hyperlink>
    </w:p>
    <w:p w14:paraId="4309B42E" w14:textId="3A932519"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7" w:history="1">
        <w:r w:rsidR="00325AE9" w:rsidRPr="00563CD6">
          <w:rPr>
            <w:rStyle w:val="Hyperlink"/>
            <w:noProof/>
          </w:rPr>
          <w:t>Observation 14</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are two HARQ processes in use, if “HARQ feedback is disabled for the 1</w:t>
        </w:r>
        <w:r w:rsidR="00325AE9" w:rsidRPr="00563CD6">
          <w:rPr>
            <w:rStyle w:val="Hyperlink"/>
            <w:noProof/>
            <w:vertAlign w:val="superscript"/>
          </w:rPr>
          <w:t>st</w:t>
        </w:r>
        <w:r w:rsidR="00325AE9" w:rsidRPr="00563CD6">
          <w:rPr>
            <w:rStyle w:val="Hyperlink"/>
            <w:noProof/>
          </w:rPr>
          <w:t xml:space="preserve"> HARQ processes and enabled for the 2</w:t>
        </w:r>
        <w:r w:rsidR="00325AE9" w:rsidRPr="00563CD6">
          <w:rPr>
            <w:rStyle w:val="Hyperlink"/>
            <w:noProof/>
            <w:vertAlign w:val="superscript"/>
          </w:rPr>
          <w:t>nd</w:t>
        </w:r>
        <w:r w:rsidR="00325AE9" w:rsidRPr="00563CD6">
          <w:rPr>
            <w:rStyle w:val="Hyperlink"/>
            <w:noProof/>
          </w:rPr>
          <w:t xml:space="preserve"> HARQ processes”, there is an Rx/Tx conflict at the subframe right after 12ms “</w:t>
        </w:r>
        <w:r w:rsidR="00325AE9" w:rsidRPr="00563CD6">
          <w:rPr>
            <w:rStyle w:val="Hyperlink"/>
            <w:i/>
            <w:iCs/>
            <w:noProof/>
          </w:rPr>
          <w:t>from the end of reception of the last NPDSCH</w:t>
        </w:r>
        <w:r w:rsidR="00325AE9" w:rsidRPr="00563CD6">
          <w:rPr>
            <w:rStyle w:val="Hyperlink"/>
            <w:noProof/>
          </w:rPr>
          <w:t>”</w:t>
        </w:r>
      </w:hyperlink>
    </w:p>
    <w:p w14:paraId="665227B8" w14:textId="2144788C"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698"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The Rx/Tx issue happens even without considering NPUSCH Format 2 repetitions nor the usage of a SCS of 3.75KHz, and there is no time for UL-to-DL switching.</w:t>
        </w:r>
      </w:hyperlink>
    </w:p>
    <w:p w14:paraId="78CAA3F8" w14:textId="2BF6C6B9"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699" w:history="1">
        <w:r w:rsidR="00325AE9" w:rsidRPr="00563CD6">
          <w:rPr>
            <w:rStyle w:val="Hyperlink"/>
            <w:noProof/>
          </w:rPr>
          <w:t>Observation 15</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are two HARQ processes in use, if “HARQ feedback is enabled for the 1</w:t>
        </w:r>
        <w:r w:rsidR="00325AE9" w:rsidRPr="00563CD6">
          <w:rPr>
            <w:rStyle w:val="Hyperlink"/>
            <w:noProof/>
            <w:vertAlign w:val="superscript"/>
          </w:rPr>
          <w:t>st</w:t>
        </w:r>
        <w:r w:rsidR="00325AE9" w:rsidRPr="00563CD6">
          <w:rPr>
            <w:rStyle w:val="Hyperlink"/>
            <w:noProof/>
          </w:rPr>
          <w:t xml:space="preserve"> HARQ processes and disabled for the 2</w:t>
        </w:r>
        <w:r w:rsidR="00325AE9" w:rsidRPr="00563CD6">
          <w:rPr>
            <w:rStyle w:val="Hyperlink"/>
            <w:noProof/>
            <w:vertAlign w:val="superscript"/>
          </w:rPr>
          <w:t>nd</w:t>
        </w:r>
        <w:r w:rsidR="00325AE9" w:rsidRPr="00563CD6">
          <w:rPr>
            <w:rStyle w:val="Hyperlink"/>
            <w:noProof/>
          </w:rPr>
          <w:t xml:space="preserve"> HARQ processes”, there is a risk of Rx/Tx conflict at the subframe right after 12ms “</w:t>
        </w:r>
        <w:r w:rsidR="00325AE9" w:rsidRPr="00563CD6">
          <w:rPr>
            <w:rStyle w:val="Hyperlink"/>
            <w:i/>
            <w:iCs/>
            <w:noProof/>
          </w:rPr>
          <w:t>from the end of reception of the last NPDSCH</w:t>
        </w:r>
        <w:r w:rsidR="00325AE9" w:rsidRPr="00563CD6">
          <w:rPr>
            <w:rStyle w:val="Hyperlink"/>
            <w:noProof/>
          </w:rPr>
          <w:t>”:</w:t>
        </w:r>
      </w:hyperlink>
    </w:p>
    <w:p w14:paraId="1101510A" w14:textId="6B15177B"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00"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The Rx/Tx conflict depends on whether NPUSCH Format 2 uses repetitions.</w:t>
        </w:r>
      </w:hyperlink>
    </w:p>
    <w:p w14:paraId="7A8EAE7E" w14:textId="6C4A344C"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01"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NPUSCH Format 2 can use a subcarrier spacing (SCS) of either 15KHz (RU = 2ms) or 3.75KHz (RU = 8ms), the latter increases the chances of a Rx/Tx conflict.</w:t>
        </w:r>
      </w:hyperlink>
    </w:p>
    <w:p w14:paraId="4EC90B03" w14:textId="2C6F2797"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02" w:history="1">
        <w:r w:rsidR="00325AE9" w:rsidRPr="00563CD6">
          <w:rPr>
            <w:rStyle w:val="Hyperlink"/>
            <w:noProof/>
          </w:rPr>
          <w:t>Observation 16</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is more than one HARQ process in use, towards receiving subsequent scheduling for the HARQ processes with disabled “HARQ feedback”, even only one HARQ process with “HARQ feedback enabled” using PUCCH repetitions can lead to an Rx/Tx conflict or no time for performing an UL-to-DL switching.</w:t>
        </w:r>
      </w:hyperlink>
    </w:p>
    <w:p w14:paraId="11B85A05" w14:textId="4412938C"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03" w:history="1">
        <w:r w:rsidR="00325AE9" w:rsidRPr="00563CD6">
          <w:rPr>
            <w:rStyle w:val="Hyperlink"/>
            <w:noProof/>
          </w:rPr>
          <w:t>Observation 17</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When there is more than one HARQ process in use, even if no PUCCH repetitions were used for the “HARQ processes” with enabled “HARQ feedback”:</w:t>
        </w:r>
      </w:hyperlink>
    </w:p>
    <w:p w14:paraId="686222D1" w14:textId="5267CF4D"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04"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As few as two “HARQ processes” with enabled “HARQ feedback” and no “HARQ-ACK bundling” will result in not enough time for performing an UL-to-DL switching.</w:t>
        </w:r>
      </w:hyperlink>
    </w:p>
    <w:p w14:paraId="17DEA430" w14:textId="5BFCE4FD" w:rsidR="00325AE9" w:rsidRDefault="0010554F" w:rsidP="0026535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05" w:history="1">
        <w:r w:rsidR="00325AE9" w:rsidRPr="00563CD6">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563CD6">
          <w:rPr>
            <w:rStyle w:val="Hyperlink"/>
            <w:noProof/>
          </w:rPr>
          <w:t>As few as three “HARQ processes” with enabled “HARQ feedback” and no “HARQ-ACK bundling” will result in an Rx/Tx conflict.</w:t>
        </w:r>
      </w:hyperlink>
    </w:p>
    <w:p w14:paraId="1595D08F" w14:textId="534D8D5E"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590C66C" w14:textId="733FC327" w:rsidR="00325AE9"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80706" w:history="1">
        <w:r w:rsidR="00325AE9" w:rsidRPr="00705102">
          <w:rPr>
            <w:rStyle w:val="Hyperlink"/>
            <w:noProof/>
          </w:rPr>
          <w:t>Proposal 1</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For “LTE-MTC over NTN” to configure/indicate enabling/disabling of HARQ feedback for downlink transmission, RAN1 down-selects between “Option 1 (i.e., semi-static signalling via RRC)” and “Option 3 (i.e., dynamic signalling via DCI)”, FFS details.</w:t>
        </w:r>
      </w:hyperlink>
    </w:p>
    <w:p w14:paraId="4E1919D7" w14:textId="491C0BEB"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07" w:history="1">
        <w:r w:rsidR="00325AE9" w:rsidRPr="00705102">
          <w:rPr>
            <w:rStyle w:val="Hyperlink"/>
            <w:noProof/>
          </w:rPr>
          <w:t>Proposal 2</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For “NB-IoT over NTN” to configure/indicate enabling/disabling on HARQ feedback for downlink transmission, RAN1 down-selects between “Option 1 (i.e., semi-static signalling via RRC)” and “Option 3 (i.e., dynamic signalling via DCI)”, FFS details.</w:t>
        </w:r>
      </w:hyperlink>
    </w:p>
    <w:p w14:paraId="340129A5" w14:textId="6DAABF7F"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08" w:history="1">
        <w:r w:rsidR="00325AE9" w:rsidRPr="00705102">
          <w:rPr>
            <w:rStyle w:val="Hyperlink"/>
            <w:noProof/>
          </w:rPr>
          <w:t>Proposal 3</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For NB-IoT, “Option 2” resembles the expected UE behaviour where 12ms must pass before the potential reception of a subsequent DL scheduling for the “HARQ process(es) with HARQ feedback disabled”, which works when either one HARQ process or two HARQ processes are in use’, and therefore should be the one supported.</w:t>
        </w:r>
      </w:hyperlink>
    </w:p>
    <w:p w14:paraId="2BA75EEF" w14:textId="5D14B2FF" w:rsidR="00325AE9" w:rsidRDefault="0010554F" w:rsidP="00325AE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09" w:history="1">
        <w:r w:rsidR="00325AE9" w:rsidRPr="00705102">
          <w:rPr>
            <w:rStyle w:val="Hyperlink"/>
            <w:rFonts w:ascii="Calibri" w:hAnsi="Calibri"/>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Option 2: UE is not required to monitor NPDCCH in a period of Y(ms) from the end of reception of the last NPDSCH</w:t>
        </w:r>
      </w:hyperlink>
    </w:p>
    <w:p w14:paraId="4EF1AEF2" w14:textId="3CFA7D61" w:rsidR="00325AE9" w:rsidRDefault="0010554F" w:rsidP="00325AE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10" w:history="1">
        <w:r w:rsidR="00325AE9" w:rsidRPr="00705102">
          <w:rPr>
            <w:rStyle w:val="Hyperlink"/>
            <w:rFonts w:ascii="Calibri" w:hAnsi="Calibri"/>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Y=12</w:t>
        </w:r>
      </w:hyperlink>
    </w:p>
    <w:p w14:paraId="28D155A1" w14:textId="15CF76C5"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11" w:history="1">
        <w:r w:rsidR="00325AE9" w:rsidRPr="00705102">
          <w:rPr>
            <w:rStyle w:val="Hyperlink"/>
            <w:noProof/>
          </w:rPr>
          <w:t>Proposal 4</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For LTE-MTC, “Option 2” resembles the expected UE behaviour where 3ms must pass before the potential reception of a subsequent DL scheduling for the “HARQ process(es) with HARQ feedback disabled”, which works when either one HARQ process or more HARQ processes are in use’, and therefore should be the one supported.</w:t>
        </w:r>
      </w:hyperlink>
    </w:p>
    <w:p w14:paraId="01CEC18E" w14:textId="12C2C853" w:rsidR="00325AE9" w:rsidRDefault="0010554F" w:rsidP="00325AE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12" w:history="1">
        <w:r w:rsidR="00325AE9" w:rsidRPr="00705102">
          <w:rPr>
            <w:rStyle w:val="Hyperlink"/>
            <w:rFonts w:ascii="Calibri" w:hAnsi="Calibri"/>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Option 2: UE is not required to monitor PDCCH in a period of Y(ms) from the end of reception of the last PDSCH</w:t>
        </w:r>
      </w:hyperlink>
    </w:p>
    <w:p w14:paraId="73E423AC" w14:textId="71545709" w:rsidR="00325AE9" w:rsidRDefault="0010554F" w:rsidP="00325AE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13" w:history="1">
        <w:r w:rsidR="00325AE9" w:rsidRPr="00705102">
          <w:rPr>
            <w:rStyle w:val="Hyperlink"/>
            <w:rFonts w:ascii="Calibri" w:hAnsi="Calibri"/>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Y=3</w:t>
        </w:r>
      </w:hyperlink>
    </w:p>
    <w:p w14:paraId="12397B72" w14:textId="34E846C8"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14" w:history="1">
        <w:r w:rsidR="00325AE9" w:rsidRPr="00705102">
          <w:rPr>
            <w:rStyle w:val="Hyperlink"/>
            <w:noProof/>
          </w:rPr>
          <w:t>Proposal 5</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For NB-IoT when there are two HARQ processes in use, and “HARQ feedback” is enabled for one HARQ processes and disabled for the other one, to avoid an Rx/Tx conflict RAN1 down-selects between:</w:t>
        </w:r>
      </w:hyperlink>
    </w:p>
    <w:p w14:paraId="4241757E" w14:textId="10B6EA0D" w:rsidR="00325AE9" w:rsidRDefault="0010554F" w:rsidP="00325AE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15" w:history="1">
        <w:r w:rsidR="00325AE9" w:rsidRPr="00705102">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Alt-1: If among the two HARQ processes in use one of them has been required to have “HARQ feedback enabled” and hence NPUSCH Format 2 must be transmitted, then by default an “ACK” is generated for the HARQ processes with “HARQ feedback disabled”, and the legacy procedure to transmit NPUSCH Format 2 is followed for all HARQ processes.</w:t>
        </w:r>
      </w:hyperlink>
    </w:p>
    <w:p w14:paraId="64453BA3" w14:textId="5CBDDA73" w:rsidR="00325AE9" w:rsidRDefault="0010554F" w:rsidP="00325AE9">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15380716" w:history="1">
        <w:r w:rsidR="00325AE9" w:rsidRPr="00705102">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Alt-2: If among the two HARQ process in use one of them has been required to have “HARQ feedback enabled” and hence NPUSCH Format 2 must be transmitted, to keep the “disabling approach” for the “HARQ process with disabled feedback” (i.e., without incurring in an Rx/Tx issue) then:</w:t>
        </w:r>
      </w:hyperlink>
    </w:p>
    <w:p w14:paraId="4F0DC663" w14:textId="0C77727B" w:rsidR="00325AE9" w:rsidRDefault="0010554F" w:rsidP="00325AE9">
      <w:pPr>
        <w:pStyle w:val="TableofFigures"/>
        <w:tabs>
          <w:tab w:val="left" w:pos="1843"/>
          <w:tab w:val="right" w:leader="dot" w:pos="9629"/>
        </w:tabs>
        <w:ind w:left="2268" w:hanging="283"/>
        <w:rPr>
          <w:rFonts w:asciiTheme="minorHAnsi" w:eastAsiaTheme="minorEastAsia" w:hAnsiTheme="minorHAnsi" w:cstheme="minorBidi"/>
          <w:b w:val="0"/>
          <w:noProof/>
          <w:sz w:val="22"/>
          <w:szCs w:val="22"/>
          <w:lang w:val="en-SE" w:eastAsia="en-SE"/>
        </w:rPr>
      </w:pPr>
      <w:hyperlink w:anchor="_Toc115380717" w:history="1">
        <w:r w:rsidR="00325AE9" w:rsidRPr="00705102">
          <w:rPr>
            <w:rStyle w:val="Hyperlink"/>
            <w:rFonts w:ascii="Courier New" w:hAnsi="Courier New" w:cs="Courier New"/>
            <w:noProof/>
          </w:rPr>
          <w:t>o</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To the 12ms “</w:t>
        </w:r>
        <w:r w:rsidR="00325AE9" w:rsidRPr="00705102">
          <w:rPr>
            <w:rStyle w:val="Hyperlink"/>
            <w:i/>
            <w:iCs/>
            <w:noProof/>
          </w:rPr>
          <w:t>from the end of reception of the last NPDSCH</w:t>
        </w:r>
        <w:r w:rsidR="00325AE9" w:rsidRPr="00705102">
          <w:rPr>
            <w:rStyle w:val="Hyperlink"/>
            <w:noProof/>
          </w:rPr>
          <w:t xml:space="preserve">” we add the legacy variable that accounts for NPUSCH Format 2 repetitions and the RU length that depends on the configured SCS, plus 1ms for UL-to-DL switching. That is: “Y = 12 + </w:t>
        </w:r>
        <w:r w:rsidR="00325AE9" w:rsidRPr="001A7C01">
          <w:rPr>
            <w:noProof/>
            <w:position w:val="-14"/>
          </w:rPr>
          <w:object w:dxaOrig="460" w:dyaOrig="380" w14:anchorId="7653527F">
            <v:shape id="_x0000_i1026" type="#_x0000_t75" style="width:22pt;height:22pt" o:ole="">
              <v:imagedata r:id="rId11" o:title=""/>
            </v:shape>
            <o:OLEObject Type="Embed" ProgID="Equation.3" ShapeID="_x0000_i1026" DrawAspect="Content" ObjectID="_1726037979" r:id="rId13"/>
          </w:object>
        </w:r>
        <w:r w:rsidR="00325AE9" w:rsidRPr="00705102">
          <w:rPr>
            <w:rStyle w:val="Hyperlink"/>
            <w:noProof/>
          </w:rPr>
          <w:t>(RU length in ms) + 1” in ms.</w:t>
        </w:r>
      </w:hyperlink>
    </w:p>
    <w:p w14:paraId="5E80AC90" w14:textId="1B389461" w:rsidR="00325AE9" w:rsidRDefault="0010554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80718" w:history="1">
        <w:r w:rsidR="00325AE9" w:rsidRPr="00705102">
          <w:rPr>
            <w:rStyle w:val="Hyperlink"/>
            <w:noProof/>
          </w:rPr>
          <w:t>Proposal 6</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For LTE-MTC when there is more than one HARQ process in use, and “HARQ feedback” is enabled for at least one among all HARQ processes, then to avoid an Rx/Tx conflict RAN1 down-selects between:</w:t>
        </w:r>
      </w:hyperlink>
    </w:p>
    <w:p w14:paraId="09690009" w14:textId="12799D91" w:rsidR="00325AE9" w:rsidRDefault="0010554F" w:rsidP="00325AE9">
      <w:pPr>
        <w:pStyle w:val="TableofFigures"/>
        <w:tabs>
          <w:tab w:val="left" w:pos="1701"/>
          <w:tab w:val="right" w:leader="dot" w:pos="9629"/>
        </w:tabs>
        <w:ind w:left="2268" w:hanging="567"/>
        <w:rPr>
          <w:rFonts w:asciiTheme="minorHAnsi" w:eastAsiaTheme="minorEastAsia" w:hAnsiTheme="minorHAnsi" w:cstheme="minorBidi"/>
          <w:b w:val="0"/>
          <w:noProof/>
          <w:sz w:val="22"/>
          <w:szCs w:val="22"/>
          <w:lang w:val="en-SE" w:eastAsia="en-SE"/>
        </w:rPr>
      </w:pPr>
      <w:hyperlink w:anchor="_Toc115380719" w:history="1">
        <w:r w:rsidR="00325AE9" w:rsidRPr="00705102">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Alt-1: If at least one among all the HARQ process in use has been required to have “HARQ feedback enabled” and hence PUCCH must be transmitted, then by default an “ACK” is generated for the HARQ processes with “HARQ feedback disabled”, and the legacy procedure to transmit PUCCH is followed for all HARQ processes.</w:t>
        </w:r>
      </w:hyperlink>
    </w:p>
    <w:p w14:paraId="1C330614" w14:textId="7FD52A45" w:rsidR="00325AE9" w:rsidRDefault="0010554F" w:rsidP="00325AE9">
      <w:pPr>
        <w:pStyle w:val="TableofFigures"/>
        <w:tabs>
          <w:tab w:val="right" w:leader="dot" w:pos="9629"/>
        </w:tabs>
        <w:ind w:left="2268" w:hanging="567"/>
        <w:rPr>
          <w:rFonts w:asciiTheme="minorHAnsi" w:eastAsiaTheme="minorEastAsia" w:hAnsiTheme="minorHAnsi" w:cstheme="minorBidi"/>
          <w:b w:val="0"/>
          <w:noProof/>
          <w:sz w:val="22"/>
          <w:szCs w:val="22"/>
          <w:lang w:val="en-SE" w:eastAsia="en-SE"/>
        </w:rPr>
      </w:pPr>
      <w:hyperlink w:anchor="_Toc115380720" w:history="1">
        <w:r w:rsidR="00325AE9" w:rsidRPr="00705102">
          <w:rPr>
            <w:rStyle w:val="Hyperlink"/>
            <w:rFonts w:ascii="Symbol" w:hAnsi="Symbol"/>
            <w:noProof/>
          </w:rPr>
          <w:t></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Alt-2: If at least one among all the HARQ process in use has been required to have “HARQ feedback enabled” and hence PUCCH must be transmitted, to keep the “disabling approach” for the “HARQ process(es) with disabled feedback” (i.e., without incurring in an Rx/Tx issue) then:</w:t>
        </w:r>
      </w:hyperlink>
    </w:p>
    <w:p w14:paraId="6C7CF891" w14:textId="7AFBDEEB" w:rsidR="00325AE9" w:rsidRDefault="0010554F" w:rsidP="00325AE9">
      <w:pPr>
        <w:pStyle w:val="TableofFigures"/>
        <w:tabs>
          <w:tab w:val="right" w:leader="dot" w:pos="9629"/>
        </w:tabs>
        <w:ind w:left="2694" w:hanging="426"/>
        <w:rPr>
          <w:rFonts w:asciiTheme="minorHAnsi" w:eastAsiaTheme="minorEastAsia" w:hAnsiTheme="minorHAnsi" w:cstheme="minorBidi"/>
          <w:b w:val="0"/>
          <w:noProof/>
          <w:sz w:val="22"/>
          <w:szCs w:val="22"/>
          <w:lang w:val="en-SE" w:eastAsia="en-SE"/>
        </w:rPr>
      </w:pPr>
      <w:hyperlink w:anchor="_Toc115380721" w:history="1">
        <w:r w:rsidR="00325AE9" w:rsidRPr="00705102">
          <w:rPr>
            <w:rStyle w:val="Hyperlink"/>
            <w:rFonts w:ascii="Courier New" w:hAnsi="Courier New" w:cs="Courier New"/>
            <w:noProof/>
          </w:rPr>
          <w:t>o</w:t>
        </w:r>
        <w:r w:rsidR="00325AE9">
          <w:rPr>
            <w:rFonts w:asciiTheme="minorHAnsi" w:eastAsiaTheme="minorEastAsia" w:hAnsiTheme="minorHAnsi" w:cstheme="minorBidi"/>
            <w:b w:val="0"/>
            <w:noProof/>
            <w:sz w:val="22"/>
            <w:szCs w:val="22"/>
            <w:lang w:val="en-SE" w:eastAsia="en-SE"/>
          </w:rPr>
          <w:tab/>
        </w:r>
        <w:r w:rsidR="00325AE9" w:rsidRPr="00705102">
          <w:rPr>
            <w:rStyle w:val="Hyperlink"/>
            <w:noProof/>
          </w:rPr>
          <w:t>To the 3ms “</w:t>
        </w:r>
        <w:r w:rsidR="00325AE9" w:rsidRPr="00705102">
          <w:rPr>
            <w:rStyle w:val="Hyperlink"/>
            <w:i/>
            <w:iCs/>
            <w:noProof/>
          </w:rPr>
          <w:t>from the end of reception of the last PDSCH</w:t>
        </w:r>
        <w:r w:rsidR="00325AE9" w:rsidRPr="00705102">
          <w:rPr>
            <w:rStyle w:val="Hyperlink"/>
            <w:noProof/>
          </w:rPr>
          <w:t>” we account for the location of PUCCH, we add the legacy variable that accounts for PUCCH repetitions, the number PUCCHs, plus 1ms for UL-to-DL switching (when needed depending on the location of PUCCH). That is: “Y = (3-floor(1/x) + pucch-NumRepetitionCE (#PUCCHs) + floor(x/3)” in ms.</w:t>
        </w:r>
      </w:hyperlink>
    </w:p>
    <w:p w14:paraId="1158C193" w14:textId="46925814" w:rsidR="00325AE9" w:rsidRDefault="0010554F" w:rsidP="00325AE9">
      <w:pPr>
        <w:pStyle w:val="TableofFigures"/>
        <w:tabs>
          <w:tab w:val="right" w:leader="dot" w:pos="9629"/>
        </w:tabs>
        <w:ind w:left="2694" w:firstLine="0"/>
        <w:rPr>
          <w:rFonts w:asciiTheme="minorHAnsi" w:eastAsiaTheme="minorEastAsia" w:hAnsiTheme="minorHAnsi" w:cstheme="minorBidi"/>
          <w:b w:val="0"/>
          <w:noProof/>
          <w:sz w:val="22"/>
          <w:szCs w:val="22"/>
          <w:lang w:val="en-SE" w:eastAsia="en-SE"/>
        </w:rPr>
      </w:pPr>
      <w:hyperlink w:anchor="_Toc115380722" w:history="1">
        <w:r w:rsidR="00325AE9" w:rsidRPr="00705102">
          <w:rPr>
            <w:rStyle w:val="Hyperlink"/>
            <w:noProof/>
          </w:rPr>
          <w:t>Where x = number of milliseconds “</w:t>
        </w:r>
        <w:r w:rsidR="00325AE9" w:rsidRPr="00705102">
          <w:rPr>
            <w:rStyle w:val="Hyperlink"/>
            <w:i/>
            <w:iCs/>
            <w:noProof/>
          </w:rPr>
          <w:t>from the end of reception of the last PDSCH</w:t>
        </w:r>
        <w:r w:rsidR="00325AE9" w:rsidRPr="00705102">
          <w:rPr>
            <w:rStyle w:val="Hyperlink"/>
            <w:noProof/>
          </w:rPr>
          <w:t>” till the subframe before the first transmitted PUCCH.</w:t>
        </w:r>
      </w:hyperlink>
    </w:p>
    <w:p w14:paraId="337FD414" w14:textId="1506D14A"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56" w:name="_Ref174151459"/>
    <w:bookmarkStart w:id="57" w:name="_Ref189809556"/>
    <w:bookmarkStart w:id="58" w:name="_Ref525824664"/>
    <w:bookmarkStart w:id="59" w:name="_Hlk4751152"/>
    <w:p w14:paraId="27014B43" w14:textId="4D333530" w:rsidR="00E732B3" w:rsidRDefault="00CF4F41" w:rsidP="00F22BD5">
      <w:pPr>
        <w:pStyle w:val="Reference"/>
      </w:pPr>
      <w:r>
        <w:fldChar w:fldCharType="begin"/>
      </w:r>
      <w:r w:rsidR="00A61F0C">
        <w:instrText>HYPERLINK "http://www.3gpp.org/ftp/TSG_RAN/TSG_RAN/TSGR_95e/Docs/RP-220939.zip"</w:instrText>
      </w:r>
      <w:r>
        <w:fldChar w:fldCharType="separate"/>
      </w:r>
      <w:r w:rsidRPr="00D3494B">
        <w:rPr>
          <w:rStyle w:val="Hyperlink"/>
        </w:rPr>
        <w:t>RP-2</w:t>
      </w:r>
      <w:r w:rsidR="00A61F0C">
        <w:rPr>
          <w:rStyle w:val="Hyperlink"/>
        </w:rPr>
        <w:t>20939</w:t>
      </w:r>
      <w:r>
        <w:fldChar w:fldCharType="end"/>
      </w:r>
      <w:r w:rsidRPr="000227F6">
        <w:t xml:space="preserve">, </w:t>
      </w:r>
      <w:r w:rsidR="004B4854">
        <w:t>“</w:t>
      </w:r>
      <w:r w:rsidR="00A61F0C" w:rsidRPr="00A61F0C">
        <w:t>WID on IoT NTN enhancements</w:t>
      </w:r>
      <w:r w:rsidR="004B4854">
        <w:t>”</w:t>
      </w:r>
      <w:r w:rsidRPr="00106987">
        <w:t>, RAN #</w:t>
      </w:r>
      <w:r w:rsidR="00A61F0C">
        <w:t>95</w:t>
      </w:r>
      <w:r>
        <w:t>e</w:t>
      </w:r>
      <w:r w:rsidRPr="00106987">
        <w:t xml:space="preserve">, </w:t>
      </w:r>
      <w:r>
        <w:t xml:space="preserve">Electronic Meeting, </w:t>
      </w:r>
      <w:r w:rsidR="00A61F0C">
        <w:t>March</w:t>
      </w:r>
      <w:r w:rsidRPr="00875FFA">
        <w:t xml:space="preserve"> </w:t>
      </w:r>
      <w:r w:rsidR="00A61F0C">
        <w:t>17</w:t>
      </w:r>
      <w:r w:rsidRPr="00875FFA">
        <w:rPr>
          <w:vertAlign w:val="superscript"/>
        </w:rPr>
        <w:t>th</w:t>
      </w:r>
      <w:r w:rsidR="004B4854">
        <w:rPr>
          <w:vertAlign w:val="superscript"/>
        </w:rPr>
        <w:t xml:space="preserve"> </w:t>
      </w:r>
      <w:r w:rsidR="004B4854">
        <w:t xml:space="preserve">– </w:t>
      </w:r>
      <w:r w:rsidR="00A61F0C">
        <w:t>2</w:t>
      </w:r>
      <w:r>
        <w:t>3</w:t>
      </w:r>
      <w:r w:rsidRPr="00D3494B">
        <w:rPr>
          <w:vertAlign w:val="superscript"/>
        </w:rPr>
        <w:t>rd</w:t>
      </w:r>
      <w:r w:rsidRPr="00875FFA">
        <w:t>, 20</w:t>
      </w:r>
      <w:r>
        <w:t>2</w:t>
      </w:r>
      <w:r w:rsidR="00A61F0C">
        <w:t>2</w:t>
      </w:r>
      <w:r w:rsidRPr="000227F6">
        <w:t>.</w:t>
      </w:r>
      <w:bookmarkEnd w:id="56"/>
      <w:bookmarkEnd w:id="57"/>
      <w:bookmarkEnd w:id="58"/>
      <w:bookmarkEnd w:id="59"/>
    </w:p>
    <w:p w14:paraId="63201CE6" w14:textId="77777777" w:rsidR="0032672E" w:rsidRDefault="0032672E" w:rsidP="0032672E">
      <w:pPr>
        <w:pStyle w:val="Reference"/>
      </w:pPr>
      <w:r>
        <w:t>Chairman Notes RAN1#109-e 9.12, RAN1 #109e, Electronic Meeting, May</w:t>
      </w:r>
      <w:r w:rsidRPr="00875FFA">
        <w:t xml:space="preserve"> </w:t>
      </w:r>
      <w:r>
        <w:t>9</w:t>
      </w:r>
      <w:r w:rsidRPr="00875FFA">
        <w:rPr>
          <w:vertAlign w:val="superscript"/>
        </w:rPr>
        <w:t>th</w:t>
      </w:r>
      <w:r>
        <w:rPr>
          <w:vertAlign w:val="superscript"/>
        </w:rPr>
        <w:t xml:space="preserve"> </w:t>
      </w:r>
      <w:r>
        <w:t>– 20</w:t>
      </w:r>
      <w:r>
        <w:rPr>
          <w:vertAlign w:val="superscript"/>
        </w:rPr>
        <w:t>th</w:t>
      </w:r>
      <w:r w:rsidRPr="00875FFA">
        <w:t>, 20</w:t>
      </w:r>
      <w:r>
        <w:t>22.</w:t>
      </w:r>
    </w:p>
    <w:p w14:paraId="408C5831" w14:textId="4F22A949" w:rsidR="0032672E" w:rsidRDefault="0032672E" w:rsidP="0032672E">
      <w:pPr>
        <w:pStyle w:val="Reference"/>
      </w:pPr>
      <w:r>
        <w:t xml:space="preserve">Chairman Notes RAN1#110 9.12, RAN1 #110, Toulouse, France, </w:t>
      </w:r>
      <w:r w:rsidRPr="0032672E">
        <w:t>August 22nd – 26th, 2022</w:t>
      </w:r>
      <w:r>
        <w:t>.</w:t>
      </w:r>
    </w:p>
    <w:p w14:paraId="44B17F6C" w14:textId="77777777" w:rsidR="0032672E" w:rsidRDefault="0010554F" w:rsidP="00F22BD5">
      <w:pPr>
        <w:pStyle w:val="Reference"/>
      </w:pPr>
      <w:hyperlink r:id="rId14" w:history="1">
        <w:r w:rsidR="00703CA9" w:rsidRPr="005342D9">
          <w:rPr>
            <w:rStyle w:val="Hyperlink"/>
          </w:rPr>
          <w:t>R1-2205473</w:t>
        </w:r>
      </w:hyperlink>
      <w:r w:rsidR="00703CA9">
        <w:t>, “</w:t>
      </w:r>
      <w:r w:rsidR="00703CA9" w:rsidRPr="00703CA9">
        <w:t>Feature lead summary #2 on disabling of HARQ feedback for IoT NTN</w:t>
      </w:r>
      <w:r w:rsidR="00703CA9">
        <w:t>,” Moderator (Lenovo),</w:t>
      </w:r>
      <w:r w:rsidR="00703CA9" w:rsidRPr="00703CA9">
        <w:t xml:space="preserve"> </w:t>
      </w:r>
      <w:r w:rsidR="00703CA9">
        <w:t>RAN1 #109e, Electronic Meeting, May</w:t>
      </w:r>
      <w:r w:rsidR="00703CA9" w:rsidRPr="00875FFA">
        <w:t xml:space="preserve"> </w:t>
      </w:r>
      <w:r w:rsidR="00703CA9">
        <w:t>9</w:t>
      </w:r>
      <w:r w:rsidR="00703CA9" w:rsidRPr="00875FFA">
        <w:rPr>
          <w:vertAlign w:val="superscript"/>
        </w:rPr>
        <w:t>th</w:t>
      </w:r>
      <w:r w:rsidR="00703CA9">
        <w:rPr>
          <w:vertAlign w:val="superscript"/>
        </w:rPr>
        <w:t xml:space="preserve"> </w:t>
      </w:r>
      <w:r w:rsidR="00703CA9">
        <w:t>– 20</w:t>
      </w:r>
      <w:r w:rsidR="00703CA9">
        <w:rPr>
          <w:vertAlign w:val="superscript"/>
        </w:rPr>
        <w:t>th</w:t>
      </w:r>
      <w:r w:rsidR="00703CA9" w:rsidRPr="00875FFA">
        <w:t>, 20</w:t>
      </w:r>
      <w:r w:rsidR="00703CA9">
        <w:t>22.</w:t>
      </w:r>
    </w:p>
    <w:p w14:paraId="7FE79973" w14:textId="2002118B" w:rsidR="00703CA9" w:rsidRDefault="0010554F" w:rsidP="0032672E">
      <w:pPr>
        <w:pStyle w:val="Reference"/>
      </w:pPr>
      <w:hyperlink r:id="rId15" w:history="1">
        <w:r w:rsidR="0032672E" w:rsidRPr="00C124E2">
          <w:rPr>
            <w:rStyle w:val="Hyperlink"/>
          </w:rPr>
          <w:t>R1-2207949</w:t>
        </w:r>
      </w:hyperlink>
      <w:r w:rsidR="0032672E">
        <w:t>, “</w:t>
      </w:r>
      <w:r w:rsidR="0032672E" w:rsidRPr="00703CA9">
        <w:t>Feature lead summary #</w:t>
      </w:r>
      <w:r w:rsidR="0032672E">
        <w:t>1</w:t>
      </w:r>
      <w:r w:rsidR="0032672E" w:rsidRPr="00703CA9">
        <w:t xml:space="preserve"> on disabling of HARQ feedback for IoT NTN</w:t>
      </w:r>
      <w:r w:rsidR="0032672E">
        <w:t>,” Moderator (Lenovo),</w:t>
      </w:r>
      <w:r w:rsidR="0032672E" w:rsidRPr="00703CA9">
        <w:t xml:space="preserve"> </w:t>
      </w:r>
      <w:r w:rsidR="0032672E">
        <w:t xml:space="preserve">RAN1 #110, Toulouse, France, </w:t>
      </w:r>
      <w:r w:rsidR="0032672E" w:rsidRPr="0032672E">
        <w:t>August 22nd – 26th, 2022</w:t>
      </w:r>
      <w:r w:rsidR="0032672E">
        <w:t>.</w:t>
      </w:r>
    </w:p>
    <w:p w14:paraId="334FF4F1" w14:textId="3D357325" w:rsidR="003A5C83" w:rsidRDefault="003A5C83" w:rsidP="003A5C83">
      <w:pPr>
        <w:pStyle w:val="Heading1"/>
      </w:pPr>
      <w:bookmarkStart w:id="60" w:name="_6_Annex_1:"/>
      <w:bookmarkEnd w:id="60"/>
      <w:r>
        <w:lastRenderedPageBreak/>
        <w:t>6</w:t>
      </w:r>
      <w:r>
        <w:tab/>
        <w:t>Annex</w:t>
      </w:r>
      <w:r w:rsidR="0004513A">
        <w:t xml:space="preserve"> 1: LTE-MTC</w:t>
      </w:r>
      <w:r w:rsidR="003D2B99">
        <w:t xml:space="preserve"> over NTN scenario</w:t>
      </w:r>
      <w:r w:rsidR="0004513A">
        <w:t xml:space="preserve"> </w:t>
      </w:r>
      <w:r w:rsidR="003D2B99">
        <w:t>with hybrid enabled/disabled HARQ feedback</w:t>
      </w:r>
    </w:p>
    <w:p w14:paraId="084D1579" w14:textId="78626950" w:rsidR="003A5C83" w:rsidRDefault="003A5C83" w:rsidP="003A5C83">
      <w:pPr>
        <w:pStyle w:val="Heading2"/>
      </w:pPr>
      <w:r>
        <w:t>A</w:t>
      </w:r>
      <w:r w:rsidR="001531A8">
        <w:t>1</w:t>
      </w:r>
      <w:r>
        <w:t>.</w:t>
      </w:r>
      <w:r w:rsidR="007E5A61">
        <w:t>1</w:t>
      </w:r>
      <w:r>
        <w:tab/>
      </w:r>
      <w:r w:rsidR="007064A5">
        <w:t xml:space="preserve">LTE-MTC: </w:t>
      </w:r>
      <w:r w:rsidR="003D2B99">
        <w:t xml:space="preserve">4 HARQ processes scenario where </w:t>
      </w:r>
      <w:r w:rsidR="003D2B99" w:rsidRPr="003D2B99">
        <w:t>HARQ processes #0, #1, and #2 have their “HARQ feedback enabled,” whereas HARQ process #3 has its “HARQ feedback disabled”</w:t>
      </w:r>
    </w:p>
    <w:p w14:paraId="5ECA3BAE" w14:textId="4DE3825E" w:rsidR="003D2B99" w:rsidRDefault="003D2B99" w:rsidP="003D2B99">
      <w:pPr>
        <w:pStyle w:val="IvDInstructiontext"/>
        <w:jc w:val="both"/>
        <w:rPr>
          <w:rStyle w:val="IvDbodytextChar"/>
          <w:i w:val="0"/>
          <w:color w:val="auto"/>
          <w:sz w:val="20"/>
          <w:szCs w:val="20"/>
        </w:rPr>
      </w:pPr>
      <w:r>
        <w:rPr>
          <w:rStyle w:val="IvDbodytextChar"/>
          <w:i w:val="0"/>
          <w:color w:val="auto"/>
          <w:sz w:val="20"/>
          <w:szCs w:val="20"/>
        </w:rPr>
        <w:t>Example applying “</w:t>
      </w:r>
      <w:r w:rsidRPr="00F43738">
        <w:rPr>
          <w:rStyle w:val="IvDbodytextChar"/>
          <w:i w:val="0"/>
          <w:color w:val="auto"/>
          <w:sz w:val="20"/>
          <w:szCs w:val="20"/>
        </w:rPr>
        <w:t xml:space="preserve">Y = </w:t>
      </w:r>
      <w:r>
        <w:rPr>
          <w:rStyle w:val="IvDbodytextChar"/>
          <w:i w:val="0"/>
          <w:color w:val="auto"/>
          <w:sz w:val="20"/>
          <w:szCs w:val="20"/>
        </w:rPr>
        <w:t>(</w:t>
      </w:r>
      <w:r w:rsidRPr="00070073">
        <w:rPr>
          <w:rStyle w:val="IvDbodytextChar"/>
          <w:i w:val="0"/>
          <w:color w:val="auto"/>
          <w:sz w:val="20"/>
          <w:szCs w:val="20"/>
        </w:rPr>
        <w:t>3</w:t>
      </w:r>
      <w:r>
        <w:rPr>
          <w:rStyle w:val="IvDbodytextChar"/>
          <w:i w:val="0"/>
          <w:color w:val="auto"/>
          <w:sz w:val="20"/>
          <w:szCs w:val="20"/>
        </w:rPr>
        <w:t>-floor(1/x))</w:t>
      </w:r>
      <w:r w:rsidRPr="00F43738">
        <w:rPr>
          <w:rStyle w:val="IvDbodytextChar"/>
          <w:i w:val="0"/>
          <w:color w:val="auto"/>
          <w:sz w:val="20"/>
          <w:szCs w:val="20"/>
        </w:rPr>
        <w:t xml:space="preserve"> + pucch-NumRepetitionCE (#PUCCHs) + floor(</w:t>
      </w:r>
      <w:r>
        <w:rPr>
          <w:rStyle w:val="IvDbodytextChar"/>
          <w:i w:val="0"/>
          <w:color w:val="auto"/>
          <w:sz w:val="20"/>
          <w:szCs w:val="20"/>
        </w:rPr>
        <w:t>x/3</w:t>
      </w:r>
      <w:r w:rsidRPr="00F43738">
        <w:rPr>
          <w:rStyle w:val="IvDbodytextChar"/>
          <w:i w:val="0"/>
          <w:color w:val="auto"/>
          <w:sz w:val="20"/>
          <w:szCs w:val="20"/>
        </w:rPr>
        <w:t>)</w:t>
      </w:r>
      <w:r>
        <w:rPr>
          <w:rStyle w:val="IvDbodytextChar"/>
          <w:i w:val="0"/>
          <w:color w:val="auto"/>
          <w:sz w:val="20"/>
          <w:szCs w:val="20"/>
        </w:rPr>
        <w:t>”</w:t>
      </w:r>
      <w:r w:rsidRPr="00F43738">
        <w:rPr>
          <w:rStyle w:val="IvDbodytextChar"/>
          <w:i w:val="0"/>
          <w:color w:val="auto"/>
          <w:sz w:val="20"/>
          <w:szCs w:val="20"/>
        </w:rPr>
        <w:t xml:space="preserve"> ms</w:t>
      </w:r>
      <w:r>
        <w:rPr>
          <w:rStyle w:val="IvDbodytextChar"/>
          <w:i w:val="0"/>
          <w:color w:val="auto"/>
          <w:sz w:val="20"/>
          <w:szCs w:val="20"/>
        </w:rPr>
        <w:t xml:space="preserve"> on a scenario where there are four HARQ processes in use. In this scenario i</w:t>
      </w:r>
      <w:r w:rsidR="009F421E">
        <w:rPr>
          <w:rStyle w:val="IvDbodytextChar"/>
          <w:i w:val="0"/>
          <w:color w:val="auto"/>
          <w:sz w:val="20"/>
          <w:szCs w:val="20"/>
        </w:rPr>
        <w:t>t i</w:t>
      </w:r>
      <w:r>
        <w:rPr>
          <w:rStyle w:val="IvDbodytextChar"/>
          <w:i w:val="0"/>
          <w:color w:val="auto"/>
          <w:sz w:val="20"/>
          <w:szCs w:val="20"/>
        </w:rPr>
        <w:t>s assumed that HARQ processes #0, #1, and #2 have their “HARQ feedback enabled,” whereas HARQ process #3 has its “HARQ feedback disabled”.</w:t>
      </w:r>
    </w:p>
    <w:p w14:paraId="0F60706F" w14:textId="66FAC155" w:rsidR="003D2B99" w:rsidRPr="003A5C83" w:rsidRDefault="003D2B99" w:rsidP="003D2B99">
      <w:pPr>
        <w:keepNext/>
        <w:keepLines/>
        <w:spacing w:before="120" w:after="0"/>
        <w:jc w:val="center"/>
        <w:rPr>
          <w:bCs/>
          <w:sz w:val="16"/>
          <w:szCs w:val="16"/>
        </w:rPr>
      </w:pPr>
      <w:r>
        <w:rPr>
          <w:bCs/>
          <w:sz w:val="16"/>
          <w:szCs w:val="16"/>
        </w:rPr>
        <w:t>T</w:t>
      </w:r>
      <w:r w:rsidRPr="003A5C83">
        <w:rPr>
          <w:bCs/>
          <w:sz w:val="16"/>
          <w:szCs w:val="16"/>
        </w:rPr>
        <w:t>able</w:t>
      </w:r>
      <w:r>
        <w:rPr>
          <w:bCs/>
          <w:sz w:val="16"/>
          <w:szCs w:val="16"/>
        </w:rPr>
        <w:t xml:space="preserve"> A1:</w:t>
      </w:r>
      <w:r w:rsidRPr="003A5C83">
        <w:rPr>
          <w:bCs/>
          <w:sz w:val="16"/>
          <w:szCs w:val="16"/>
        </w:rPr>
        <w:t xml:space="preserve"> </w:t>
      </w:r>
      <w:r>
        <w:rPr>
          <w:bCs/>
          <w:sz w:val="16"/>
          <w:szCs w:val="16"/>
        </w:rPr>
        <w:t xml:space="preserve">4 </w:t>
      </w:r>
      <w:r w:rsidRPr="003A5C83">
        <w:rPr>
          <w:bCs/>
          <w:sz w:val="16"/>
          <w:szCs w:val="16"/>
        </w:rPr>
        <w:t xml:space="preserve">HARQ </w:t>
      </w:r>
      <w:r>
        <w:rPr>
          <w:bCs/>
          <w:sz w:val="16"/>
          <w:szCs w:val="16"/>
        </w:rPr>
        <w:t xml:space="preserve">processes scenario where </w:t>
      </w:r>
      <w:r w:rsidRPr="003F546F">
        <w:rPr>
          <w:bCs/>
          <w:sz w:val="16"/>
          <w:szCs w:val="16"/>
        </w:rPr>
        <w:t xml:space="preserve">“HARQ feedback” is enabled for the 1st, 2nd and 3rd HARQ processes and disabled for the </w:t>
      </w:r>
      <w:r>
        <w:rPr>
          <w:bCs/>
          <w:sz w:val="16"/>
          <w:szCs w:val="16"/>
        </w:rPr>
        <w:t>4</w:t>
      </w:r>
      <w:r w:rsidRPr="00A40C0E">
        <w:rPr>
          <w:bCs/>
          <w:sz w:val="16"/>
          <w:szCs w:val="16"/>
          <w:vertAlign w:val="superscript"/>
        </w:rPr>
        <w:t>th</w:t>
      </w:r>
      <w:r w:rsidRPr="003F546F">
        <w:rPr>
          <w:bCs/>
          <w:sz w:val="16"/>
          <w:szCs w:val="16"/>
        </w:rPr>
        <w:t xml:space="preserve"> HARQ processes</w:t>
      </w:r>
      <w:r>
        <w:rPr>
          <w:bCs/>
          <w:sz w:val="16"/>
          <w:szCs w:val="16"/>
        </w:rPr>
        <w:t xml:space="preserve"> </w:t>
      </w:r>
      <w:r w:rsidRPr="003A5C83">
        <w:rPr>
          <w:bCs/>
          <w:sz w:val="16"/>
          <w:szCs w:val="16"/>
        </w:rPr>
        <w:t>for a Cat-M1 HD-FDD UE for NTN</w:t>
      </w:r>
      <w:r>
        <w:rPr>
          <w:bCs/>
          <w:sz w:val="16"/>
          <w:szCs w:val="16"/>
        </w:rPr>
        <w:t>.</w:t>
      </w:r>
    </w:p>
    <w:tbl>
      <w:tblPr>
        <w:tblW w:w="4711" w:type="pct"/>
        <w:jc w:val="center"/>
        <w:tblCellMar>
          <w:left w:w="0" w:type="dxa"/>
          <w:right w:w="0" w:type="dxa"/>
        </w:tblCellMar>
        <w:tblLook w:val="04A0" w:firstRow="1" w:lastRow="0" w:firstColumn="1" w:lastColumn="0" w:noHBand="0" w:noVBand="1"/>
      </w:tblPr>
      <w:tblGrid>
        <w:gridCol w:w="2557"/>
        <w:gridCol w:w="557"/>
        <w:gridCol w:w="557"/>
        <w:gridCol w:w="557"/>
        <w:gridCol w:w="556"/>
        <w:gridCol w:w="556"/>
        <w:gridCol w:w="556"/>
        <w:gridCol w:w="556"/>
        <w:gridCol w:w="556"/>
        <w:gridCol w:w="696"/>
        <w:gridCol w:w="683"/>
        <w:gridCol w:w="676"/>
      </w:tblGrid>
      <w:tr w:rsidR="004D3977" w14:paraId="728C9236" w14:textId="77777777" w:rsidTr="004D3977">
        <w:trPr>
          <w:trHeight w:val="271"/>
          <w:jc w:val="center"/>
        </w:trPr>
        <w:tc>
          <w:tcPr>
            <w:tcW w:w="14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60D39" w14:textId="77777777" w:rsidR="004D3977" w:rsidRDefault="004D3977" w:rsidP="00704657">
            <w:pPr>
              <w:keepNext/>
              <w:jc w:val="center"/>
              <w:rPr>
                <w:rFonts w:ascii="Arial Narrow" w:hAnsi="Arial Narrow"/>
                <w:sz w:val="14"/>
                <w:szCs w:val="14"/>
                <w:lang w:val="de-DE"/>
              </w:rPr>
            </w:pPr>
            <w:r>
              <w:rPr>
                <w:rFonts w:asciiTheme="minorHAnsi" w:hAnsiTheme="minorHAnsi" w:cstheme="minorHAnsi"/>
                <w:sz w:val="12"/>
                <w:szCs w:val="12"/>
                <w:lang w:eastAsia="en-GB"/>
              </w:rPr>
              <w:t xml:space="preserve">Earliest DL Reception of the subsequent HARQ Processes #3 </w:t>
            </w:r>
            <w:r w:rsidRPr="008D3B63">
              <w:rPr>
                <w:rFonts w:asciiTheme="minorHAnsi" w:hAnsiTheme="minorHAnsi" w:cstheme="minorHAnsi"/>
                <w:sz w:val="12"/>
                <w:szCs w:val="12"/>
                <w:lang w:val="en-US" w:eastAsia="en-GB"/>
              </w:rPr>
              <w:t>according with Y = 3ms + pucch-NumRepetitionCE (#PUCCHs) + floor(x) ms</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5EE58" w14:textId="77777777" w:rsidR="004D3977" w:rsidRDefault="004D3977" w:rsidP="00704657">
            <w:pPr>
              <w:keepNext/>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56702" w14:textId="77777777" w:rsidR="004D3977" w:rsidRDefault="004D3977" w:rsidP="00704657">
            <w:pPr>
              <w:keepNext/>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D9BAE" w14:textId="77777777" w:rsidR="004D3977" w:rsidRDefault="004D3977" w:rsidP="00704657">
            <w:pPr>
              <w:keepNext/>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A47E4" w14:textId="77777777" w:rsidR="004D3977" w:rsidRDefault="004D3977" w:rsidP="00704657">
            <w:pPr>
              <w:keepNext/>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44BBF6" w14:textId="77777777" w:rsidR="004D3977" w:rsidRDefault="004D3977" w:rsidP="00704657">
            <w:pPr>
              <w:keepNext/>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A6CF" w14:textId="77777777" w:rsidR="004D3977" w:rsidRDefault="004D3977" w:rsidP="00704657">
            <w:pPr>
              <w:keepNext/>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D7C9D" w14:textId="77777777" w:rsidR="004D3977" w:rsidRDefault="004D3977" w:rsidP="00704657">
            <w:pPr>
              <w:keepNext/>
              <w:jc w:val="center"/>
              <w:rPr>
                <w:rFonts w:ascii="Arial Narrow" w:hAnsi="Arial Narrow"/>
                <w:sz w:val="14"/>
                <w:szCs w:val="14"/>
                <w:lang w:val="de-DE"/>
              </w:rPr>
            </w:pP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B26442" w14:textId="77777777" w:rsidR="004D3977" w:rsidRDefault="004D3977" w:rsidP="00704657">
            <w:pPr>
              <w:keepNext/>
              <w:jc w:val="center"/>
              <w:rPr>
                <w:rFonts w:ascii="Arial Narrow" w:hAnsi="Arial Narrow"/>
                <w:sz w:val="14"/>
                <w:szCs w:val="14"/>
                <w:lang w:val="de-DE"/>
              </w:rPr>
            </w:pP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D0DEC" w14:textId="77777777" w:rsidR="004D3977" w:rsidRDefault="004D3977" w:rsidP="00704657">
            <w:pPr>
              <w:keepNext/>
              <w:jc w:val="center"/>
              <w:rPr>
                <w:rFonts w:ascii="Arial Narrow" w:hAnsi="Arial Narrow"/>
                <w:sz w:val="14"/>
                <w:szCs w:val="14"/>
                <w:lang w:val="de-DE"/>
              </w:rPr>
            </w:pP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BD752" w14:textId="77777777" w:rsidR="004D3977" w:rsidRDefault="004D3977" w:rsidP="00704657">
            <w:pPr>
              <w:keepNext/>
              <w:rPr>
                <w:rFonts w:ascii="Arial Narrow" w:hAnsi="Arial Narrow"/>
                <w:sz w:val="14"/>
                <w:szCs w:val="14"/>
                <w:lang w:val="de-DE"/>
              </w:rPr>
            </w:pPr>
          </w:p>
        </w:tc>
        <w:tc>
          <w:tcPr>
            <w:tcW w:w="37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91054A9" w14:textId="77777777" w:rsidR="004D3977" w:rsidRDefault="004D3977" w:rsidP="00704657">
            <w:pPr>
              <w:keepNext/>
              <w:jc w:val="center"/>
              <w:rPr>
                <w:rFonts w:ascii="Arial Narrow" w:hAnsi="Arial Narrow"/>
                <w:sz w:val="14"/>
                <w:szCs w:val="14"/>
                <w:lang w:val="de-DE"/>
              </w:rPr>
            </w:pPr>
            <w:r>
              <w:rPr>
                <w:rFonts w:asciiTheme="minorHAnsi" w:hAnsiTheme="minorHAnsi" w:cstheme="minorHAnsi"/>
                <w:sz w:val="11"/>
                <w:szCs w:val="11"/>
                <w:lang w:eastAsia="en-GB"/>
              </w:rPr>
              <w:t>↓</w:t>
            </w:r>
          </w:p>
        </w:tc>
      </w:tr>
      <w:tr w:rsidR="004D3977" w14:paraId="795CBC9E" w14:textId="77777777" w:rsidTr="004D3977">
        <w:trPr>
          <w:trHeight w:val="271"/>
          <w:jc w:val="center"/>
        </w:trPr>
        <w:tc>
          <w:tcPr>
            <w:tcW w:w="14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D21203" w14:textId="77777777"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Subframe #</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9C240" w14:textId="77777777" w:rsidR="004D3977" w:rsidRDefault="004D3977" w:rsidP="00704657">
            <w:pPr>
              <w:keepNext/>
              <w:rPr>
                <w:rFonts w:ascii="Arial Narrow" w:hAnsi="Arial Narrow"/>
                <w:sz w:val="14"/>
                <w:szCs w:val="14"/>
                <w:lang w:val="de-DE" w:eastAsia="en-US"/>
              </w:rPr>
            </w:pPr>
            <w:r>
              <w:rPr>
                <w:rFonts w:ascii="Arial Narrow" w:hAnsi="Arial Narrow"/>
                <w:sz w:val="14"/>
                <w:szCs w:val="14"/>
                <w:lang w:val="de-DE"/>
              </w:rPr>
              <w:t>0</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6DDDD5"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1</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3D9EA"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2</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BE649"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3</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E572A"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4</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2952B"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5</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BD228" w14:textId="5E198F52"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6</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2A0B68" w14:textId="1FEC125C"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7</w:t>
            </w:r>
          </w:p>
        </w:tc>
        <w:tc>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45FD3" w14:textId="2E89214D"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8</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CE4F9" w14:textId="7BB84B57" w:rsidR="004D3977" w:rsidRDefault="004D3977" w:rsidP="00704657">
            <w:pPr>
              <w:keepNext/>
              <w:rPr>
                <w:rFonts w:ascii="Arial Narrow" w:hAnsi="Arial Narrow"/>
                <w:sz w:val="14"/>
                <w:szCs w:val="14"/>
                <w:lang w:val="de-DE"/>
              </w:rPr>
            </w:pPr>
            <w:r>
              <w:rPr>
                <w:rFonts w:ascii="Arial Narrow" w:hAnsi="Arial Narrow"/>
                <w:sz w:val="14"/>
                <w:szCs w:val="14"/>
                <w:lang w:val="de-DE"/>
              </w:rPr>
              <w:t>9</w:t>
            </w:r>
          </w:p>
        </w:tc>
        <w:tc>
          <w:tcPr>
            <w:tcW w:w="3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194E" w14:textId="771A9530" w:rsidR="004D3977" w:rsidRDefault="004D3977" w:rsidP="00704657">
            <w:pPr>
              <w:keepNext/>
              <w:rPr>
                <w:rFonts w:ascii="Arial Narrow" w:hAnsi="Arial Narrow"/>
                <w:sz w:val="14"/>
                <w:szCs w:val="14"/>
                <w:lang w:val="de-DE"/>
              </w:rPr>
            </w:pPr>
            <w:r>
              <w:rPr>
                <w:rFonts w:ascii="Arial Narrow" w:hAnsi="Arial Narrow"/>
                <w:sz w:val="14"/>
                <w:szCs w:val="14"/>
                <w:lang w:val="de-DE"/>
              </w:rPr>
              <w:t>10</w:t>
            </w:r>
          </w:p>
        </w:tc>
      </w:tr>
      <w:tr w:rsidR="004D3977" w14:paraId="7B4F3860" w14:textId="77777777" w:rsidTr="004D3977">
        <w:trPr>
          <w:trHeight w:val="129"/>
          <w:jc w:val="center"/>
        </w:trPr>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D0031" w14:textId="77777777"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MPDCCH</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6EBD4F4F"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0</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6F987F1C"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1</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4851474A"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2</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7128ADEF"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3</w:t>
            </w: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40A591AD"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2AD26A66"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2AAF079F" w14:textId="77777777" w:rsidR="004D3977" w:rsidRDefault="004D3977" w:rsidP="00704657">
            <w:pPr>
              <w:keepNext/>
              <w:jc w:val="center"/>
              <w:rPr>
                <w:rFonts w:ascii="Arial Narrow" w:hAnsi="Arial Narrow"/>
                <w:color w:val="FF0000"/>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17C424E6" w14:textId="77777777" w:rsidR="004D3977" w:rsidRDefault="004D3977" w:rsidP="00704657">
            <w:pPr>
              <w:keepNext/>
              <w:jc w:val="center"/>
              <w:rPr>
                <w:rFonts w:ascii="Arial Narrow" w:hAnsi="Arial Narrow"/>
                <w:color w:val="FF0000"/>
                <w:sz w:val="14"/>
                <w:szCs w:val="14"/>
                <w:lang w:val="de-DE"/>
              </w:rPr>
            </w:pPr>
          </w:p>
        </w:tc>
        <w:tc>
          <w:tcPr>
            <w:tcW w:w="384" w:type="pct"/>
            <w:tcBorders>
              <w:top w:val="nil"/>
              <w:left w:val="nil"/>
              <w:bottom w:val="single" w:sz="8" w:space="0" w:color="auto"/>
              <w:right w:val="single" w:sz="8" w:space="0" w:color="auto"/>
            </w:tcBorders>
            <w:tcMar>
              <w:top w:w="0" w:type="dxa"/>
              <w:left w:w="108" w:type="dxa"/>
              <w:bottom w:w="0" w:type="dxa"/>
              <w:right w:w="108" w:type="dxa"/>
            </w:tcMar>
          </w:tcPr>
          <w:p w14:paraId="5AC83FA1" w14:textId="77777777" w:rsidR="004D3977" w:rsidRDefault="004D3977" w:rsidP="00704657">
            <w:pPr>
              <w:keepNext/>
              <w:jc w:val="center"/>
              <w:rPr>
                <w:rFonts w:ascii="Arial Narrow" w:hAnsi="Arial Narrow"/>
                <w:color w:val="FF0000"/>
                <w:sz w:val="14"/>
                <w:szCs w:val="14"/>
                <w:lang w:val="de-DE"/>
              </w:rPr>
            </w:pPr>
          </w:p>
        </w:tc>
        <w:tc>
          <w:tcPr>
            <w:tcW w:w="377" w:type="pct"/>
            <w:tcBorders>
              <w:top w:val="nil"/>
              <w:left w:val="nil"/>
              <w:bottom w:val="single" w:sz="8" w:space="0" w:color="auto"/>
              <w:right w:val="single" w:sz="8" w:space="0" w:color="auto"/>
            </w:tcBorders>
            <w:tcMar>
              <w:top w:w="0" w:type="dxa"/>
              <w:left w:w="108" w:type="dxa"/>
              <w:bottom w:w="0" w:type="dxa"/>
              <w:right w:w="108" w:type="dxa"/>
            </w:tcMar>
          </w:tcPr>
          <w:p w14:paraId="4F3DE68B" w14:textId="77777777" w:rsidR="004D3977" w:rsidRDefault="004D3977" w:rsidP="00704657">
            <w:pPr>
              <w:keepNext/>
              <w:rPr>
                <w:rFonts w:ascii="Arial Narrow" w:hAnsi="Arial Narrow"/>
                <w:sz w:val="14"/>
                <w:szCs w:val="14"/>
                <w:lang w:val="de-DE"/>
              </w:rPr>
            </w:pPr>
          </w:p>
        </w:tc>
        <w:tc>
          <w:tcPr>
            <w:tcW w:w="376" w:type="pct"/>
            <w:tcBorders>
              <w:top w:val="nil"/>
              <w:left w:val="nil"/>
              <w:bottom w:val="single" w:sz="8" w:space="0" w:color="auto"/>
              <w:right w:val="single" w:sz="8" w:space="0" w:color="auto"/>
            </w:tcBorders>
            <w:tcMar>
              <w:top w:w="0" w:type="dxa"/>
              <w:left w:w="108" w:type="dxa"/>
              <w:bottom w:w="0" w:type="dxa"/>
              <w:right w:w="108" w:type="dxa"/>
            </w:tcMar>
          </w:tcPr>
          <w:p w14:paraId="14C24149" w14:textId="77777777" w:rsidR="004D3977" w:rsidRDefault="004D3977" w:rsidP="00704657">
            <w:pPr>
              <w:keepNext/>
              <w:rPr>
                <w:rFonts w:ascii="Arial Narrow" w:hAnsi="Arial Narrow"/>
                <w:sz w:val="14"/>
                <w:szCs w:val="14"/>
                <w:lang w:val="de-DE"/>
              </w:rPr>
            </w:pPr>
          </w:p>
        </w:tc>
      </w:tr>
      <w:tr w:rsidR="004D3977" w14:paraId="648AC322" w14:textId="77777777" w:rsidTr="004D3977">
        <w:trPr>
          <w:trHeight w:val="120"/>
          <w:jc w:val="center"/>
        </w:trPr>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2B72F" w14:textId="77777777"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 xml:space="preserve">PDSCH    </w:t>
            </w: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19AA46BD"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34689122"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2A94A257"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0</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2324A70B"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1</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502916C1"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2</w:t>
            </w:r>
          </w:p>
        </w:tc>
        <w:tc>
          <w:tcPr>
            <w:tcW w:w="307" w:type="pct"/>
            <w:tcBorders>
              <w:top w:val="nil"/>
              <w:left w:val="nil"/>
              <w:bottom w:val="single" w:sz="8" w:space="0" w:color="auto"/>
              <w:right w:val="single" w:sz="8" w:space="0" w:color="auto"/>
            </w:tcBorders>
            <w:tcMar>
              <w:top w:w="0" w:type="dxa"/>
              <w:left w:w="108" w:type="dxa"/>
              <w:bottom w:w="0" w:type="dxa"/>
              <w:right w:w="108" w:type="dxa"/>
            </w:tcMar>
            <w:hideMark/>
          </w:tcPr>
          <w:p w14:paraId="535AC813"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3</w:t>
            </w: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72F04B70"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078AEA86" w14:textId="77777777" w:rsidR="004D3977" w:rsidRDefault="004D3977" w:rsidP="00704657">
            <w:pPr>
              <w:keepNext/>
              <w:rPr>
                <w:rFonts w:ascii="Arial Narrow" w:hAnsi="Arial Narrow"/>
                <w:sz w:val="14"/>
                <w:szCs w:val="14"/>
                <w:lang w:val="de-DE"/>
              </w:rPr>
            </w:pPr>
          </w:p>
        </w:tc>
        <w:tc>
          <w:tcPr>
            <w:tcW w:w="384" w:type="pct"/>
            <w:tcBorders>
              <w:top w:val="nil"/>
              <w:left w:val="nil"/>
              <w:bottom w:val="single" w:sz="8" w:space="0" w:color="auto"/>
              <w:right w:val="single" w:sz="8" w:space="0" w:color="auto"/>
            </w:tcBorders>
            <w:tcMar>
              <w:top w:w="0" w:type="dxa"/>
              <w:left w:w="108" w:type="dxa"/>
              <w:bottom w:w="0" w:type="dxa"/>
              <w:right w:w="108" w:type="dxa"/>
            </w:tcMar>
          </w:tcPr>
          <w:p w14:paraId="7753BA45" w14:textId="77777777" w:rsidR="004D3977" w:rsidRDefault="004D3977" w:rsidP="00704657">
            <w:pPr>
              <w:keepNext/>
              <w:rPr>
                <w:rFonts w:ascii="Arial Narrow" w:hAnsi="Arial Narrow"/>
                <w:sz w:val="14"/>
                <w:szCs w:val="14"/>
                <w:lang w:val="de-DE"/>
              </w:rPr>
            </w:pPr>
          </w:p>
        </w:tc>
        <w:tc>
          <w:tcPr>
            <w:tcW w:w="377" w:type="pct"/>
            <w:tcBorders>
              <w:top w:val="nil"/>
              <w:left w:val="nil"/>
              <w:bottom w:val="single" w:sz="8" w:space="0" w:color="auto"/>
              <w:right w:val="single" w:sz="8" w:space="0" w:color="auto"/>
            </w:tcBorders>
            <w:tcMar>
              <w:top w:w="0" w:type="dxa"/>
              <w:left w:w="108" w:type="dxa"/>
              <w:bottom w:w="0" w:type="dxa"/>
              <w:right w:w="108" w:type="dxa"/>
            </w:tcMar>
          </w:tcPr>
          <w:p w14:paraId="621DCD9E" w14:textId="77777777" w:rsidR="004D3977" w:rsidRDefault="004D3977" w:rsidP="00704657">
            <w:pPr>
              <w:keepNext/>
              <w:rPr>
                <w:rFonts w:ascii="Arial Narrow" w:hAnsi="Arial Narrow"/>
                <w:sz w:val="14"/>
                <w:szCs w:val="14"/>
                <w:lang w:val="de-DE"/>
              </w:rPr>
            </w:pPr>
          </w:p>
        </w:tc>
        <w:tc>
          <w:tcPr>
            <w:tcW w:w="376" w:type="pct"/>
            <w:tcBorders>
              <w:top w:val="nil"/>
              <w:left w:val="nil"/>
              <w:bottom w:val="single" w:sz="8" w:space="0" w:color="auto"/>
              <w:right w:val="single" w:sz="8" w:space="0" w:color="auto"/>
            </w:tcBorders>
            <w:tcMar>
              <w:top w:w="0" w:type="dxa"/>
              <w:left w:w="108" w:type="dxa"/>
              <w:bottom w:w="0" w:type="dxa"/>
              <w:right w:w="108" w:type="dxa"/>
            </w:tcMar>
          </w:tcPr>
          <w:p w14:paraId="2C661D9C" w14:textId="77777777" w:rsidR="004D3977" w:rsidRDefault="004D3977" w:rsidP="00704657">
            <w:pPr>
              <w:keepNext/>
              <w:rPr>
                <w:rFonts w:ascii="Arial Narrow" w:hAnsi="Arial Narrow"/>
                <w:sz w:val="14"/>
                <w:szCs w:val="14"/>
                <w:lang w:val="de-DE"/>
              </w:rPr>
            </w:pPr>
          </w:p>
        </w:tc>
      </w:tr>
      <w:tr w:rsidR="004D3977" w14:paraId="58E95A86" w14:textId="77777777" w:rsidTr="004D3977">
        <w:trPr>
          <w:trHeight w:val="672"/>
          <w:jc w:val="center"/>
        </w:trPr>
        <w:tc>
          <w:tcPr>
            <w:tcW w:w="141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CEAE9" w14:textId="77777777" w:rsidR="004D3977" w:rsidRDefault="004D3977" w:rsidP="00704657">
            <w:pPr>
              <w:keepNext/>
              <w:jc w:val="center"/>
              <w:rPr>
                <w:rFonts w:ascii="Arial Narrow" w:hAnsi="Arial Narrow"/>
                <w:sz w:val="14"/>
                <w:szCs w:val="14"/>
                <w:lang w:val="de-DE"/>
              </w:rPr>
            </w:pPr>
            <w:r>
              <w:rPr>
                <w:rFonts w:ascii="Arial Narrow" w:hAnsi="Arial Narrow"/>
                <w:sz w:val="14"/>
                <w:szCs w:val="14"/>
                <w:lang w:val="de-DE"/>
              </w:rPr>
              <w:t xml:space="preserve">PUCCH     </w:t>
            </w:r>
            <w:r>
              <w:rPr>
                <w:rFonts w:ascii="Arial Narrow" w:hAnsi="Arial Narrow"/>
                <w:sz w:val="12"/>
                <w:szCs w:val="12"/>
                <w:lang w:val="de-DE"/>
              </w:rPr>
              <w:t>ACK/NACK (Bundling responses for HARQ processes #0, #1, and #2)</w:t>
            </w: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7F7CB446"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6E1CD424"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63036CE0"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1574BAB3"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3A2B1907"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226BFDA2"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7992AF89" w14:textId="77777777" w:rsidR="004D3977" w:rsidRDefault="004D3977" w:rsidP="00704657">
            <w:pPr>
              <w:keepNext/>
              <w:rPr>
                <w:rFonts w:ascii="Arial Narrow" w:hAnsi="Arial Narrow"/>
                <w:sz w:val="14"/>
                <w:szCs w:val="14"/>
                <w:lang w:val="de-DE"/>
              </w:rPr>
            </w:pPr>
          </w:p>
        </w:tc>
        <w:tc>
          <w:tcPr>
            <w:tcW w:w="307" w:type="pct"/>
            <w:tcBorders>
              <w:top w:val="nil"/>
              <w:left w:val="nil"/>
              <w:bottom w:val="single" w:sz="8" w:space="0" w:color="auto"/>
              <w:right w:val="single" w:sz="8" w:space="0" w:color="auto"/>
            </w:tcBorders>
            <w:tcMar>
              <w:top w:w="0" w:type="dxa"/>
              <w:left w:w="108" w:type="dxa"/>
              <w:bottom w:w="0" w:type="dxa"/>
              <w:right w:w="108" w:type="dxa"/>
            </w:tcMar>
          </w:tcPr>
          <w:p w14:paraId="0B651A9A" w14:textId="77777777" w:rsidR="004D3977" w:rsidRDefault="004D3977" w:rsidP="00704657">
            <w:pPr>
              <w:keepNext/>
              <w:rPr>
                <w:rFonts w:ascii="Arial Narrow" w:hAnsi="Arial Narrow"/>
                <w:sz w:val="14"/>
                <w:szCs w:val="14"/>
                <w:lang w:val="de-DE"/>
              </w:rPr>
            </w:pPr>
          </w:p>
        </w:tc>
        <w:tc>
          <w:tcPr>
            <w:tcW w:w="384" w:type="pct"/>
            <w:tcBorders>
              <w:top w:val="nil"/>
              <w:left w:val="nil"/>
              <w:bottom w:val="single" w:sz="8" w:space="0" w:color="auto"/>
              <w:right w:val="single" w:sz="8" w:space="0" w:color="auto"/>
            </w:tcBorders>
            <w:tcMar>
              <w:top w:w="0" w:type="dxa"/>
              <w:left w:w="108" w:type="dxa"/>
              <w:bottom w:w="0" w:type="dxa"/>
              <w:right w:w="108" w:type="dxa"/>
            </w:tcMar>
            <w:hideMark/>
          </w:tcPr>
          <w:p w14:paraId="40BA34ED"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0</w:t>
            </w:r>
          </w:p>
          <w:p w14:paraId="428D3DAA"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{0,</w:t>
            </w:r>
          </w:p>
          <w:p w14:paraId="3F838D3B"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1,</w:t>
            </w:r>
          </w:p>
          <w:p w14:paraId="34CDEE8B" w14:textId="77777777" w:rsidR="004D3977" w:rsidRDefault="004D3977" w:rsidP="00704657">
            <w:pPr>
              <w:keepNext/>
              <w:rPr>
                <w:rFonts w:ascii="Arial Narrow" w:hAnsi="Arial Narrow"/>
                <w:sz w:val="14"/>
                <w:szCs w:val="14"/>
                <w:lang w:val="de-DE"/>
              </w:rPr>
            </w:pPr>
            <w:r>
              <w:rPr>
                <w:rFonts w:ascii="Arial Narrow" w:hAnsi="Arial Narrow"/>
                <w:sz w:val="14"/>
                <w:szCs w:val="14"/>
                <w:lang w:val="de-DE"/>
              </w:rPr>
              <w:t>2}</w:t>
            </w:r>
          </w:p>
        </w:tc>
        <w:tc>
          <w:tcPr>
            <w:tcW w:w="377" w:type="pct"/>
            <w:tcBorders>
              <w:top w:val="nil"/>
              <w:left w:val="nil"/>
              <w:bottom w:val="single" w:sz="8" w:space="0" w:color="auto"/>
              <w:right w:val="single" w:sz="8" w:space="0" w:color="auto"/>
            </w:tcBorders>
            <w:tcMar>
              <w:top w:w="0" w:type="dxa"/>
              <w:left w:w="108" w:type="dxa"/>
              <w:bottom w:w="0" w:type="dxa"/>
              <w:right w:w="108" w:type="dxa"/>
            </w:tcMar>
          </w:tcPr>
          <w:p w14:paraId="5B4529BB" w14:textId="77777777" w:rsidR="004D3977" w:rsidRDefault="004D3977" w:rsidP="00704657">
            <w:pPr>
              <w:keepNext/>
              <w:rPr>
                <w:rFonts w:ascii="Arial Narrow" w:hAnsi="Arial Narrow"/>
                <w:sz w:val="14"/>
                <w:szCs w:val="14"/>
                <w:lang w:val="de-DE"/>
              </w:rPr>
            </w:pPr>
          </w:p>
        </w:tc>
        <w:tc>
          <w:tcPr>
            <w:tcW w:w="376" w:type="pct"/>
            <w:tcBorders>
              <w:top w:val="nil"/>
              <w:left w:val="nil"/>
              <w:bottom w:val="single" w:sz="8" w:space="0" w:color="auto"/>
              <w:right w:val="single" w:sz="8" w:space="0" w:color="auto"/>
            </w:tcBorders>
            <w:tcMar>
              <w:top w:w="0" w:type="dxa"/>
              <w:left w:w="108" w:type="dxa"/>
              <w:bottom w:w="0" w:type="dxa"/>
              <w:right w:w="108" w:type="dxa"/>
            </w:tcMar>
          </w:tcPr>
          <w:p w14:paraId="075EBF9B" w14:textId="77777777" w:rsidR="004D3977" w:rsidRDefault="004D3977" w:rsidP="00704657">
            <w:pPr>
              <w:keepNext/>
              <w:rPr>
                <w:rFonts w:ascii="Arial Narrow" w:hAnsi="Arial Narrow"/>
                <w:sz w:val="14"/>
                <w:szCs w:val="14"/>
                <w:lang w:val="de-DE"/>
              </w:rPr>
            </w:pPr>
          </w:p>
        </w:tc>
      </w:tr>
    </w:tbl>
    <w:p w14:paraId="0B42AFE2" w14:textId="77777777" w:rsidR="003D2B99" w:rsidRDefault="003D2B99" w:rsidP="003D2B99">
      <w:pPr>
        <w:pStyle w:val="ListParagraph"/>
        <w:ind w:left="1080"/>
        <w:rPr>
          <w:rFonts w:eastAsiaTheme="minorHAnsi" w:cs="Calibri"/>
          <w:lang w:val="en-US"/>
        </w:rPr>
      </w:pPr>
    </w:p>
    <w:p w14:paraId="1862257B" w14:textId="2C2B605C" w:rsidR="003D2B99" w:rsidRDefault="003D2B99" w:rsidP="003D2B99">
      <w:pPr>
        <w:pStyle w:val="IvDInstructiontext"/>
        <w:jc w:val="both"/>
        <w:rPr>
          <w:rStyle w:val="IvDbodytextChar"/>
          <w:i w:val="0"/>
          <w:color w:val="auto"/>
          <w:sz w:val="20"/>
          <w:szCs w:val="20"/>
        </w:rPr>
      </w:pPr>
      <w:r w:rsidRPr="008D3B63">
        <w:rPr>
          <w:rStyle w:val="IvDbodytextChar"/>
          <w:i w:val="0"/>
          <w:color w:val="auto"/>
          <w:sz w:val="20"/>
          <w:szCs w:val="20"/>
        </w:rPr>
        <w:t xml:space="preserve">HARQ process number #3 has PUCCH disabled and instead </w:t>
      </w:r>
      <w:r w:rsidR="00FD1763">
        <w:rPr>
          <w:rStyle w:val="IvDbodytextChar"/>
          <w:i w:val="0"/>
          <w:color w:val="auto"/>
          <w:sz w:val="20"/>
          <w:szCs w:val="20"/>
        </w:rPr>
        <w:t xml:space="preserve">of transmitting </w:t>
      </w:r>
      <w:r w:rsidRPr="008D3B63">
        <w:rPr>
          <w:rStyle w:val="IvDbodytextChar"/>
          <w:i w:val="0"/>
          <w:color w:val="auto"/>
          <w:sz w:val="20"/>
          <w:szCs w:val="20"/>
        </w:rPr>
        <w:t>it starts monitoring in DL at subframe #1</w:t>
      </w:r>
      <w:r w:rsidR="00FD1763">
        <w:rPr>
          <w:rStyle w:val="IvDbodytextChar"/>
          <w:i w:val="0"/>
          <w:color w:val="auto"/>
          <w:sz w:val="20"/>
          <w:szCs w:val="20"/>
        </w:rPr>
        <w:t>0</w:t>
      </w:r>
      <w:r w:rsidRPr="008D3B63">
        <w:rPr>
          <w:rStyle w:val="IvDbodytextChar"/>
          <w:i w:val="0"/>
          <w:color w:val="auto"/>
          <w:sz w:val="20"/>
          <w:szCs w:val="20"/>
        </w:rPr>
        <w:t xml:space="preserve"> according with Y = </w:t>
      </w:r>
      <w:r>
        <w:rPr>
          <w:rStyle w:val="IvDbodytextChar"/>
          <w:i w:val="0"/>
          <w:color w:val="auto"/>
          <w:sz w:val="20"/>
          <w:szCs w:val="20"/>
        </w:rPr>
        <w:t>(</w:t>
      </w:r>
      <w:r w:rsidRPr="008D3B63">
        <w:rPr>
          <w:rStyle w:val="IvDbodytextChar"/>
          <w:i w:val="0"/>
          <w:color w:val="auto"/>
          <w:sz w:val="20"/>
          <w:szCs w:val="20"/>
        </w:rPr>
        <w:t>3</w:t>
      </w:r>
      <w:r>
        <w:rPr>
          <w:rStyle w:val="IvDbodytextChar"/>
          <w:i w:val="0"/>
          <w:color w:val="auto"/>
          <w:sz w:val="20"/>
          <w:szCs w:val="20"/>
        </w:rPr>
        <w:t>-floor(1/x))</w:t>
      </w:r>
      <w:r w:rsidRPr="008D3B63">
        <w:rPr>
          <w:rStyle w:val="IvDbodytextChar"/>
          <w:i w:val="0"/>
          <w:color w:val="auto"/>
          <w:sz w:val="20"/>
          <w:szCs w:val="20"/>
        </w:rPr>
        <w:t xml:space="preserve"> + pucch-NumRepetitionCE (#PUCCHs) + floor(</w:t>
      </w:r>
      <w:r>
        <w:rPr>
          <w:rStyle w:val="IvDbodytextChar"/>
          <w:i w:val="0"/>
          <w:color w:val="auto"/>
          <w:sz w:val="20"/>
          <w:szCs w:val="20"/>
        </w:rPr>
        <w:t>x/3</w:t>
      </w:r>
      <w:r w:rsidRPr="008D3B63">
        <w:rPr>
          <w:rStyle w:val="IvDbodytextChar"/>
          <w:i w:val="0"/>
          <w:color w:val="auto"/>
          <w:sz w:val="20"/>
          <w:szCs w:val="20"/>
        </w:rPr>
        <w:t>) ms</w:t>
      </w:r>
      <w:r>
        <w:rPr>
          <w:rStyle w:val="IvDbodytextChar"/>
          <w:i w:val="0"/>
          <w:color w:val="auto"/>
          <w:sz w:val="20"/>
          <w:szCs w:val="20"/>
        </w:rPr>
        <w:t>, where:</w:t>
      </w:r>
    </w:p>
    <w:p w14:paraId="084491E4" w14:textId="77777777" w:rsidR="003D2B99" w:rsidRDefault="003D2B99" w:rsidP="003D2B99">
      <w:pPr>
        <w:pStyle w:val="IvDInstructiontext"/>
        <w:numPr>
          <w:ilvl w:val="0"/>
          <w:numId w:val="32"/>
        </w:numPr>
        <w:jc w:val="both"/>
        <w:rPr>
          <w:rStyle w:val="IvDbodytextChar"/>
          <w:i w:val="0"/>
          <w:color w:val="auto"/>
          <w:sz w:val="20"/>
          <w:szCs w:val="20"/>
        </w:rPr>
      </w:pPr>
      <w:r w:rsidRPr="008D3B63">
        <w:rPr>
          <w:rStyle w:val="IvDbodytextChar"/>
          <w:i w:val="0"/>
          <w:color w:val="auto"/>
          <w:sz w:val="20"/>
          <w:szCs w:val="20"/>
        </w:rPr>
        <w:t xml:space="preserve">pucch-NumRepetitionCE </w:t>
      </w:r>
      <w:r>
        <w:rPr>
          <w:rStyle w:val="IvDbodytextChar"/>
          <w:i w:val="0"/>
          <w:color w:val="auto"/>
          <w:sz w:val="20"/>
          <w:szCs w:val="20"/>
        </w:rPr>
        <w:t>= 1</w:t>
      </w:r>
    </w:p>
    <w:p w14:paraId="499D7FC4" w14:textId="77777777" w:rsidR="003D2B99" w:rsidRDefault="003D2B99" w:rsidP="003D2B99">
      <w:pPr>
        <w:pStyle w:val="IvDInstructiontext"/>
        <w:numPr>
          <w:ilvl w:val="0"/>
          <w:numId w:val="32"/>
        </w:numPr>
        <w:jc w:val="both"/>
        <w:rPr>
          <w:rStyle w:val="IvDbodytextChar"/>
          <w:i w:val="0"/>
          <w:color w:val="auto"/>
          <w:sz w:val="20"/>
          <w:szCs w:val="20"/>
        </w:rPr>
      </w:pPr>
      <w:r w:rsidRPr="008D3B63">
        <w:rPr>
          <w:rStyle w:val="IvDbodytextChar"/>
          <w:i w:val="0"/>
          <w:color w:val="auto"/>
          <w:sz w:val="20"/>
          <w:szCs w:val="20"/>
        </w:rPr>
        <w:t>#PUCCHs</w:t>
      </w:r>
      <w:r>
        <w:rPr>
          <w:rStyle w:val="IvDbodytextChar"/>
          <w:i w:val="0"/>
          <w:color w:val="auto"/>
          <w:sz w:val="20"/>
          <w:szCs w:val="20"/>
        </w:rPr>
        <w:t xml:space="preserve"> = 1</w:t>
      </w:r>
    </w:p>
    <w:p w14:paraId="3A3B54ED" w14:textId="3D98E6CF" w:rsidR="003D2B99" w:rsidRDefault="003D2B99" w:rsidP="003D2B99">
      <w:pPr>
        <w:pStyle w:val="IvDInstructiontext"/>
        <w:numPr>
          <w:ilvl w:val="0"/>
          <w:numId w:val="32"/>
        </w:numPr>
        <w:jc w:val="both"/>
        <w:rPr>
          <w:rStyle w:val="IvDbodytextChar"/>
          <w:i w:val="0"/>
          <w:color w:val="auto"/>
          <w:sz w:val="20"/>
          <w:szCs w:val="20"/>
        </w:rPr>
      </w:pPr>
      <w:r w:rsidRPr="00F43738">
        <w:rPr>
          <w:rStyle w:val="IvDbodytextChar"/>
          <w:i w:val="0"/>
          <w:color w:val="auto"/>
          <w:sz w:val="20"/>
          <w:szCs w:val="20"/>
        </w:rPr>
        <w:t>x = number of milliseconds “from the end of reception of the last PDSCH” t</w:t>
      </w:r>
      <w:r>
        <w:rPr>
          <w:rStyle w:val="IvDbodytextChar"/>
          <w:i w:val="0"/>
          <w:color w:val="auto"/>
          <w:sz w:val="20"/>
          <w:szCs w:val="20"/>
        </w:rPr>
        <w:t>ill the subframe before the</w:t>
      </w:r>
      <w:r w:rsidRPr="00F43738">
        <w:rPr>
          <w:rStyle w:val="IvDbodytextChar"/>
          <w:i w:val="0"/>
          <w:color w:val="auto"/>
          <w:sz w:val="20"/>
          <w:szCs w:val="20"/>
        </w:rPr>
        <w:t xml:space="preserve"> first transmitted PUCCH</w:t>
      </w:r>
      <w:r>
        <w:rPr>
          <w:rStyle w:val="IvDbodytextChar"/>
          <w:i w:val="0"/>
          <w:color w:val="auto"/>
          <w:sz w:val="20"/>
          <w:szCs w:val="20"/>
        </w:rPr>
        <w:t xml:space="preserve"> = </w:t>
      </w:r>
      <w:r w:rsidR="004D3977">
        <w:rPr>
          <w:rStyle w:val="IvDbodytextChar"/>
          <w:i w:val="0"/>
          <w:color w:val="auto"/>
          <w:sz w:val="20"/>
          <w:szCs w:val="20"/>
        </w:rPr>
        <w:t>2</w:t>
      </w:r>
      <w:r>
        <w:rPr>
          <w:rStyle w:val="IvDbodytextChar"/>
          <w:i w:val="0"/>
          <w:color w:val="auto"/>
          <w:sz w:val="20"/>
          <w:szCs w:val="20"/>
        </w:rPr>
        <w:t xml:space="preserve">. </w:t>
      </w:r>
    </w:p>
    <w:p w14:paraId="1135CFF5" w14:textId="1DE292CB" w:rsidR="003D2B99" w:rsidRDefault="003D2B99" w:rsidP="003D2B99">
      <w:pPr>
        <w:pStyle w:val="IvDInstructiontext"/>
        <w:jc w:val="both"/>
        <w:rPr>
          <w:rStyle w:val="IvDbodytextChar"/>
          <w:i w:val="0"/>
          <w:color w:val="auto"/>
          <w:sz w:val="20"/>
          <w:szCs w:val="20"/>
        </w:rPr>
      </w:pPr>
      <w:r>
        <w:rPr>
          <w:rStyle w:val="IvDbodytextChar"/>
          <w:i w:val="0"/>
          <w:color w:val="auto"/>
          <w:sz w:val="20"/>
          <w:szCs w:val="20"/>
        </w:rPr>
        <w:t xml:space="preserve">Hence </w:t>
      </w:r>
      <w:r w:rsidRPr="008D3B63">
        <w:rPr>
          <w:rStyle w:val="IvDbodytextChar"/>
          <w:i w:val="0"/>
          <w:color w:val="auto"/>
          <w:sz w:val="20"/>
          <w:szCs w:val="20"/>
        </w:rPr>
        <w:t xml:space="preserve">Y = </w:t>
      </w:r>
      <w:r>
        <w:rPr>
          <w:rStyle w:val="IvDbodytextChar"/>
          <w:i w:val="0"/>
          <w:color w:val="auto"/>
          <w:sz w:val="20"/>
          <w:szCs w:val="20"/>
        </w:rPr>
        <w:t>(</w:t>
      </w:r>
      <w:r w:rsidRPr="008D3B63">
        <w:rPr>
          <w:rStyle w:val="IvDbodytextChar"/>
          <w:i w:val="0"/>
          <w:color w:val="auto"/>
          <w:sz w:val="20"/>
          <w:szCs w:val="20"/>
        </w:rPr>
        <w:t>3</w:t>
      </w:r>
      <w:r>
        <w:rPr>
          <w:rStyle w:val="IvDbodytextChar"/>
          <w:i w:val="0"/>
          <w:color w:val="auto"/>
          <w:sz w:val="20"/>
          <w:szCs w:val="20"/>
        </w:rPr>
        <w:t>-floor(1/</w:t>
      </w:r>
      <w:r w:rsidR="004D3977">
        <w:rPr>
          <w:rStyle w:val="IvDbodytextChar"/>
          <w:i w:val="0"/>
          <w:color w:val="auto"/>
          <w:sz w:val="20"/>
          <w:szCs w:val="20"/>
        </w:rPr>
        <w:t>2</w:t>
      </w:r>
      <w:r>
        <w:rPr>
          <w:rStyle w:val="IvDbodytextChar"/>
          <w:i w:val="0"/>
          <w:color w:val="auto"/>
          <w:sz w:val="20"/>
          <w:szCs w:val="20"/>
        </w:rPr>
        <w:t>))</w:t>
      </w:r>
      <w:r w:rsidRPr="008D3B63">
        <w:rPr>
          <w:rStyle w:val="IvDbodytextChar"/>
          <w:i w:val="0"/>
          <w:color w:val="auto"/>
          <w:sz w:val="20"/>
          <w:szCs w:val="20"/>
        </w:rPr>
        <w:t xml:space="preserve"> + </w:t>
      </w:r>
      <w:r>
        <w:rPr>
          <w:rStyle w:val="IvDbodytextChar"/>
          <w:i w:val="0"/>
          <w:color w:val="auto"/>
          <w:sz w:val="20"/>
          <w:szCs w:val="20"/>
        </w:rPr>
        <w:t>1</w:t>
      </w:r>
      <w:r w:rsidRPr="008D3B63">
        <w:rPr>
          <w:rStyle w:val="IvDbodytextChar"/>
          <w:i w:val="0"/>
          <w:color w:val="auto"/>
          <w:sz w:val="20"/>
          <w:szCs w:val="20"/>
        </w:rPr>
        <w:t xml:space="preserve"> (</w:t>
      </w:r>
      <w:r>
        <w:rPr>
          <w:rStyle w:val="IvDbodytextChar"/>
          <w:i w:val="0"/>
          <w:color w:val="auto"/>
          <w:sz w:val="20"/>
          <w:szCs w:val="20"/>
        </w:rPr>
        <w:t>1</w:t>
      </w:r>
      <w:r w:rsidRPr="008D3B63">
        <w:rPr>
          <w:rStyle w:val="IvDbodytextChar"/>
          <w:i w:val="0"/>
          <w:color w:val="auto"/>
          <w:sz w:val="20"/>
          <w:szCs w:val="20"/>
        </w:rPr>
        <w:t>) + floor(</w:t>
      </w:r>
      <w:r w:rsidR="004D3977">
        <w:rPr>
          <w:rStyle w:val="IvDbodytextChar"/>
          <w:i w:val="0"/>
          <w:color w:val="auto"/>
          <w:sz w:val="20"/>
          <w:szCs w:val="20"/>
        </w:rPr>
        <w:t>2</w:t>
      </w:r>
      <w:r>
        <w:rPr>
          <w:rStyle w:val="IvDbodytextChar"/>
          <w:i w:val="0"/>
          <w:color w:val="auto"/>
          <w:sz w:val="20"/>
          <w:szCs w:val="20"/>
        </w:rPr>
        <w:t>/3</w:t>
      </w:r>
      <w:r w:rsidRPr="008D3B63">
        <w:rPr>
          <w:rStyle w:val="IvDbodytextChar"/>
          <w:i w:val="0"/>
          <w:color w:val="auto"/>
          <w:sz w:val="20"/>
          <w:szCs w:val="20"/>
        </w:rPr>
        <w:t xml:space="preserve">) </w:t>
      </w:r>
      <w:r>
        <w:rPr>
          <w:rStyle w:val="IvDbodytextChar"/>
          <w:i w:val="0"/>
          <w:color w:val="auto"/>
          <w:sz w:val="20"/>
          <w:szCs w:val="20"/>
        </w:rPr>
        <w:t>= 3+1+</w:t>
      </w:r>
      <w:r w:rsidR="004D3977">
        <w:rPr>
          <w:rStyle w:val="IvDbodytextChar"/>
          <w:i w:val="0"/>
          <w:color w:val="auto"/>
          <w:sz w:val="20"/>
          <w:szCs w:val="20"/>
        </w:rPr>
        <w:t>0</w:t>
      </w:r>
      <w:r>
        <w:rPr>
          <w:rStyle w:val="IvDbodytextChar"/>
          <w:i w:val="0"/>
          <w:color w:val="auto"/>
          <w:sz w:val="20"/>
          <w:szCs w:val="20"/>
        </w:rPr>
        <w:t xml:space="preserve"> = </w:t>
      </w:r>
      <w:r w:rsidR="004D3977">
        <w:rPr>
          <w:rStyle w:val="IvDbodytextChar"/>
          <w:i w:val="0"/>
          <w:color w:val="auto"/>
          <w:sz w:val="20"/>
          <w:szCs w:val="20"/>
        </w:rPr>
        <w:t xml:space="preserve">4 </w:t>
      </w:r>
      <w:r>
        <w:rPr>
          <w:rStyle w:val="IvDbodytextChar"/>
          <w:i w:val="0"/>
          <w:color w:val="auto"/>
          <w:sz w:val="20"/>
          <w:szCs w:val="20"/>
        </w:rPr>
        <w:t xml:space="preserve">ms. If for HARQ process#3 which has its “HARQ feedback disabled” the </w:t>
      </w:r>
      <w:r>
        <w:t>“</w:t>
      </w:r>
      <w:r w:rsidRPr="00651D15">
        <w:rPr>
          <w:sz w:val="14"/>
          <w:szCs w:val="14"/>
          <w:lang w:val="en-US" w:eastAsia="x-none"/>
        </w:rPr>
        <w:t>UE is not required to monitor NPDCCH in a period of Y(ms) from the end of reception of the last NPDSCH</w:t>
      </w:r>
      <w:r>
        <w:t>”</w:t>
      </w:r>
      <w:r>
        <w:rPr>
          <w:rStyle w:val="IvDbodytextChar"/>
          <w:i w:val="0"/>
          <w:color w:val="auto"/>
          <w:sz w:val="20"/>
          <w:szCs w:val="20"/>
        </w:rPr>
        <w:t xml:space="preserve">, then with the updated Y = </w:t>
      </w:r>
      <w:r w:rsidR="004D3977">
        <w:rPr>
          <w:rStyle w:val="IvDbodytextChar"/>
          <w:i w:val="0"/>
          <w:color w:val="auto"/>
          <w:sz w:val="20"/>
          <w:szCs w:val="20"/>
        </w:rPr>
        <w:t xml:space="preserve">4 </w:t>
      </w:r>
      <w:r>
        <w:rPr>
          <w:rStyle w:val="IvDbodytextChar"/>
          <w:i w:val="0"/>
          <w:color w:val="auto"/>
          <w:sz w:val="20"/>
          <w:szCs w:val="20"/>
        </w:rPr>
        <w:t>ms the UE won’t be required to monitor subframe #6, #7, #8, and #</w:t>
      </w:r>
      <w:r w:rsidR="004D3977">
        <w:rPr>
          <w:rStyle w:val="IvDbodytextChar"/>
          <w:i w:val="0"/>
          <w:color w:val="auto"/>
          <w:sz w:val="20"/>
          <w:szCs w:val="20"/>
        </w:rPr>
        <w:t>9</w:t>
      </w:r>
      <w:r>
        <w:rPr>
          <w:rStyle w:val="IvDbodytextChar"/>
          <w:i w:val="0"/>
          <w:color w:val="auto"/>
          <w:sz w:val="20"/>
          <w:szCs w:val="20"/>
        </w:rPr>
        <w:t xml:space="preserve"> and therefore would be able to start monitoring in DL from subframe #1</w:t>
      </w:r>
      <w:r w:rsidR="004D3977">
        <w:rPr>
          <w:rStyle w:val="IvDbodytextChar"/>
          <w:i w:val="0"/>
          <w:color w:val="auto"/>
          <w:sz w:val="20"/>
          <w:szCs w:val="20"/>
        </w:rPr>
        <w:t>0</w:t>
      </w:r>
      <w:r>
        <w:rPr>
          <w:rStyle w:val="IvDbodytextChar"/>
          <w:i w:val="0"/>
          <w:color w:val="auto"/>
          <w:sz w:val="20"/>
          <w:szCs w:val="20"/>
        </w:rPr>
        <w:t xml:space="preserve"> for a potential reception of a DL scheduling.</w:t>
      </w:r>
    </w:p>
    <w:p w14:paraId="19A2154A" w14:textId="5A17D16D" w:rsidR="00A84E0A" w:rsidRDefault="00A84E0A" w:rsidP="003A5C83">
      <w:pPr>
        <w:pStyle w:val="Reference"/>
        <w:numPr>
          <w:ilvl w:val="0"/>
          <w:numId w:val="0"/>
        </w:numPr>
        <w:rPr>
          <w:rFonts w:ascii="Times New Roman" w:hAnsi="Times New Roman"/>
        </w:rPr>
      </w:pPr>
    </w:p>
    <w:p w14:paraId="423748C9" w14:textId="1152FF4F" w:rsidR="003D2B99" w:rsidRDefault="003D2B99" w:rsidP="003D2B99">
      <w:pPr>
        <w:pStyle w:val="Heading2"/>
      </w:pPr>
      <w:r>
        <w:t>A1.2</w:t>
      </w:r>
      <w:r>
        <w:tab/>
        <w:t xml:space="preserve">LTE-MTC: </w:t>
      </w:r>
      <w:r w:rsidR="00FB79DD" w:rsidRPr="00FB79DD">
        <w:t>10 HARQ processes where “HARQ feedback” is enabled for the 1st, 2nd, and 3rd HARQ processes and disabled for the other 7 HARQ processes</w:t>
      </w:r>
    </w:p>
    <w:p w14:paraId="67FD4EAF" w14:textId="2C901191" w:rsidR="003D2B99" w:rsidRDefault="003D2B99" w:rsidP="003D2B99">
      <w:pPr>
        <w:pStyle w:val="IvDInstructiontext"/>
        <w:jc w:val="both"/>
        <w:rPr>
          <w:rStyle w:val="IvDbodytextChar"/>
          <w:i w:val="0"/>
          <w:color w:val="auto"/>
          <w:sz w:val="20"/>
          <w:szCs w:val="20"/>
        </w:rPr>
      </w:pPr>
      <w:r>
        <w:rPr>
          <w:rStyle w:val="IvDbodytextChar"/>
          <w:i w:val="0"/>
          <w:color w:val="auto"/>
          <w:sz w:val="20"/>
          <w:szCs w:val="20"/>
        </w:rPr>
        <w:t xml:space="preserve">For comparison purposes. If </w:t>
      </w:r>
      <w:r w:rsidR="0083352E">
        <w:rPr>
          <w:rStyle w:val="IvDbodytextChar"/>
          <w:i w:val="0"/>
          <w:color w:val="auto"/>
          <w:sz w:val="20"/>
          <w:szCs w:val="20"/>
        </w:rPr>
        <w:t>for</w:t>
      </w:r>
      <w:r>
        <w:rPr>
          <w:rStyle w:val="IvDbodytextChar"/>
          <w:i w:val="0"/>
          <w:color w:val="auto"/>
          <w:sz w:val="20"/>
          <w:szCs w:val="20"/>
        </w:rPr>
        <w:t xml:space="preserve"> the scenario depicted </w:t>
      </w:r>
      <w:r w:rsidR="00FD1763">
        <w:rPr>
          <w:rStyle w:val="IvDbodytextChar"/>
          <w:i w:val="0"/>
          <w:color w:val="auto"/>
          <w:sz w:val="20"/>
          <w:szCs w:val="20"/>
        </w:rPr>
        <w:t>using</w:t>
      </w:r>
      <w:r>
        <w:rPr>
          <w:rStyle w:val="IvDbodytextChar"/>
          <w:i w:val="0"/>
          <w:color w:val="auto"/>
          <w:sz w:val="20"/>
          <w:szCs w:val="20"/>
        </w:rPr>
        <w:t xml:space="preserve"> Table 6 in </w:t>
      </w:r>
      <w:hyperlink r:id="rId16" w:anchor="_4.2.1_" w:history="1">
        <w:r w:rsidRPr="00FB79DD">
          <w:rPr>
            <w:rStyle w:val="Hyperlink"/>
            <w:i w:val="0"/>
            <w:sz w:val="20"/>
            <w:szCs w:val="20"/>
          </w:rPr>
          <w:t>section 4.2.1</w:t>
        </w:r>
      </w:hyperlink>
      <w:r>
        <w:rPr>
          <w:rStyle w:val="IvDbodytextChar"/>
          <w:i w:val="0"/>
          <w:color w:val="auto"/>
          <w:sz w:val="20"/>
          <w:szCs w:val="20"/>
        </w:rPr>
        <w:t xml:space="preserve">, we apply </w:t>
      </w:r>
      <w:r w:rsidRPr="008D3B63">
        <w:rPr>
          <w:rStyle w:val="IvDbodytextChar"/>
          <w:i w:val="0"/>
          <w:color w:val="auto"/>
          <w:sz w:val="20"/>
          <w:szCs w:val="20"/>
        </w:rPr>
        <w:t xml:space="preserve">Y = </w:t>
      </w:r>
      <w:r>
        <w:rPr>
          <w:rStyle w:val="IvDbodytextChar"/>
          <w:i w:val="0"/>
          <w:color w:val="auto"/>
          <w:sz w:val="20"/>
          <w:szCs w:val="20"/>
        </w:rPr>
        <w:t>(</w:t>
      </w:r>
      <w:r w:rsidRPr="008D3B63">
        <w:rPr>
          <w:rStyle w:val="IvDbodytextChar"/>
          <w:i w:val="0"/>
          <w:color w:val="auto"/>
          <w:sz w:val="20"/>
          <w:szCs w:val="20"/>
        </w:rPr>
        <w:t>3</w:t>
      </w:r>
      <w:r>
        <w:rPr>
          <w:rStyle w:val="IvDbodytextChar"/>
          <w:i w:val="0"/>
          <w:color w:val="auto"/>
          <w:sz w:val="20"/>
          <w:szCs w:val="20"/>
        </w:rPr>
        <w:t>-floor(1/x))</w:t>
      </w:r>
      <w:r w:rsidRPr="008D3B63">
        <w:rPr>
          <w:rStyle w:val="IvDbodytextChar"/>
          <w:i w:val="0"/>
          <w:color w:val="auto"/>
          <w:sz w:val="20"/>
          <w:szCs w:val="20"/>
        </w:rPr>
        <w:t xml:space="preserve"> + pucch-NumRepetitionCE (#PUCCHs) + floor(</w:t>
      </w:r>
      <w:r>
        <w:rPr>
          <w:rStyle w:val="IvDbodytextChar"/>
          <w:i w:val="0"/>
          <w:color w:val="auto"/>
          <w:sz w:val="20"/>
          <w:szCs w:val="20"/>
        </w:rPr>
        <w:t>x/3</w:t>
      </w:r>
      <w:r w:rsidRPr="008D3B63">
        <w:rPr>
          <w:rStyle w:val="IvDbodytextChar"/>
          <w:i w:val="0"/>
          <w:color w:val="auto"/>
          <w:sz w:val="20"/>
          <w:szCs w:val="20"/>
        </w:rPr>
        <w:t>) ms</w:t>
      </w:r>
      <w:r>
        <w:rPr>
          <w:rStyle w:val="IvDbodytextChar"/>
          <w:i w:val="0"/>
          <w:color w:val="auto"/>
          <w:sz w:val="20"/>
          <w:szCs w:val="20"/>
        </w:rPr>
        <w:t>, where:</w:t>
      </w:r>
    </w:p>
    <w:p w14:paraId="7BC08177" w14:textId="77777777" w:rsidR="003D2B99" w:rsidRDefault="003D2B99" w:rsidP="003D2B99">
      <w:pPr>
        <w:pStyle w:val="IvDInstructiontext"/>
        <w:numPr>
          <w:ilvl w:val="0"/>
          <w:numId w:val="32"/>
        </w:numPr>
        <w:jc w:val="both"/>
        <w:rPr>
          <w:rStyle w:val="IvDbodytextChar"/>
          <w:i w:val="0"/>
          <w:color w:val="auto"/>
          <w:sz w:val="20"/>
          <w:szCs w:val="20"/>
        </w:rPr>
      </w:pPr>
      <w:r w:rsidRPr="008D3B63">
        <w:rPr>
          <w:rStyle w:val="IvDbodytextChar"/>
          <w:i w:val="0"/>
          <w:color w:val="auto"/>
          <w:sz w:val="20"/>
          <w:szCs w:val="20"/>
        </w:rPr>
        <w:lastRenderedPageBreak/>
        <w:t xml:space="preserve">pucch-NumRepetitionCE </w:t>
      </w:r>
      <w:r>
        <w:rPr>
          <w:rStyle w:val="IvDbodytextChar"/>
          <w:i w:val="0"/>
          <w:color w:val="auto"/>
          <w:sz w:val="20"/>
          <w:szCs w:val="20"/>
        </w:rPr>
        <w:t>= 1</w:t>
      </w:r>
    </w:p>
    <w:p w14:paraId="23339B22" w14:textId="77777777" w:rsidR="003D2B99" w:rsidRDefault="003D2B99" w:rsidP="003D2B99">
      <w:pPr>
        <w:pStyle w:val="IvDInstructiontext"/>
        <w:numPr>
          <w:ilvl w:val="0"/>
          <w:numId w:val="32"/>
        </w:numPr>
        <w:jc w:val="both"/>
        <w:rPr>
          <w:rStyle w:val="IvDbodytextChar"/>
          <w:i w:val="0"/>
          <w:color w:val="auto"/>
          <w:sz w:val="20"/>
          <w:szCs w:val="20"/>
        </w:rPr>
      </w:pPr>
      <w:r w:rsidRPr="008D3B63">
        <w:rPr>
          <w:rStyle w:val="IvDbodytextChar"/>
          <w:i w:val="0"/>
          <w:color w:val="auto"/>
          <w:sz w:val="20"/>
          <w:szCs w:val="20"/>
        </w:rPr>
        <w:t>#PUCCHs</w:t>
      </w:r>
      <w:r>
        <w:rPr>
          <w:rStyle w:val="IvDbodytextChar"/>
          <w:i w:val="0"/>
          <w:color w:val="auto"/>
          <w:sz w:val="20"/>
          <w:szCs w:val="20"/>
        </w:rPr>
        <w:t xml:space="preserve"> = 1</w:t>
      </w:r>
    </w:p>
    <w:p w14:paraId="0DD32638" w14:textId="77777777" w:rsidR="003D2B99" w:rsidRDefault="003D2B99" w:rsidP="003D2B99">
      <w:pPr>
        <w:pStyle w:val="IvDInstructiontext"/>
        <w:numPr>
          <w:ilvl w:val="0"/>
          <w:numId w:val="32"/>
        </w:numPr>
        <w:jc w:val="both"/>
        <w:rPr>
          <w:rStyle w:val="IvDbodytextChar"/>
          <w:i w:val="0"/>
          <w:color w:val="auto"/>
          <w:sz w:val="20"/>
          <w:szCs w:val="20"/>
        </w:rPr>
      </w:pPr>
      <w:r w:rsidRPr="00F43738">
        <w:rPr>
          <w:rStyle w:val="IvDbodytextChar"/>
          <w:i w:val="0"/>
          <w:color w:val="auto"/>
          <w:sz w:val="20"/>
          <w:szCs w:val="20"/>
        </w:rPr>
        <w:t>x = number of milliseconds “from the end of reception of the last PDSCH” t</w:t>
      </w:r>
      <w:r>
        <w:rPr>
          <w:rStyle w:val="IvDbodytextChar"/>
          <w:i w:val="0"/>
          <w:color w:val="auto"/>
          <w:sz w:val="20"/>
          <w:szCs w:val="20"/>
        </w:rPr>
        <w:t>ill the subframe before the</w:t>
      </w:r>
      <w:r w:rsidRPr="00F43738">
        <w:rPr>
          <w:rStyle w:val="IvDbodytextChar"/>
          <w:i w:val="0"/>
          <w:color w:val="auto"/>
          <w:sz w:val="20"/>
          <w:szCs w:val="20"/>
        </w:rPr>
        <w:t xml:space="preserve"> first transmitted PUCCH</w:t>
      </w:r>
      <w:r>
        <w:rPr>
          <w:rStyle w:val="IvDbodytextChar"/>
          <w:i w:val="0"/>
          <w:color w:val="auto"/>
          <w:sz w:val="20"/>
          <w:szCs w:val="20"/>
        </w:rPr>
        <w:t xml:space="preserve"> = 1. </w:t>
      </w:r>
    </w:p>
    <w:p w14:paraId="786DF507" w14:textId="467D7407" w:rsidR="003D2B99" w:rsidRDefault="003D2B99" w:rsidP="003D2B99">
      <w:pPr>
        <w:pStyle w:val="IvDInstructiontext"/>
        <w:jc w:val="both"/>
        <w:rPr>
          <w:rStyle w:val="IvDbodytextChar"/>
          <w:i w:val="0"/>
          <w:color w:val="auto"/>
          <w:sz w:val="20"/>
          <w:szCs w:val="20"/>
        </w:rPr>
      </w:pPr>
      <w:r>
        <w:rPr>
          <w:rStyle w:val="IvDbodytextChar"/>
          <w:i w:val="0"/>
          <w:color w:val="auto"/>
          <w:sz w:val="20"/>
          <w:szCs w:val="20"/>
        </w:rPr>
        <w:t xml:space="preserve">Hence </w:t>
      </w:r>
      <w:r w:rsidRPr="008D3B63">
        <w:rPr>
          <w:rStyle w:val="IvDbodytextChar"/>
          <w:i w:val="0"/>
          <w:color w:val="auto"/>
          <w:sz w:val="20"/>
          <w:szCs w:val="20"/>
        </w:rPr>
        <w:t xml:space="preserve">Y = </w:t>
      </w:r>
      <w:r>
        <w:rPr>
          <w:rStyle w:val="IvDbodytextChar"/>
          <w:i w:val="0"/>
          <w:color w:val="auto"/>
          <w:sz w:val="20"/>
          <w:szCs w:val="20"/>
        </w:rPr>
        <w:t>(</w:t>
      </w:r>
      <w:r w:rsidRPr="008D3B63">
        <w:rPr>
          <w:rStyle w:val="IvDbodytextChar"/>
          <w:i w:val="0"/>
          <w:color w:val="auto"/>
          <w:sz w:val="20"/>
          <w:szCs w:val="20"/>
        </w:rPr>
        <w:t>3</w:t>
      </w:r>
      <w:r>
        <w:rPr>
          <w:rStyle w:val="IvDbodytextChar"/>
          <w:i w:val="0"/>
          <w:color w:val="auto"/>
          <w:sz w:val="20"/>
          <w:szCs w:val="20"/>
        </w:rPr>
        <w:t>-floor(1/1))</w:t>
      </w:r>
      <w:r w:rsidRPr="008D3B63">
        <w:rPr>
          <w:rStyle w:val="IvDbodytextChar"/>
          <w:i w:val="0"/>
          <w:color w:val="auto"/>
          <w:sz w:val="20"/>
          <w:szCs w:val="20"/>
        </w:rPr>
        <w:t xml:space="preserve"> + </w:t>
      </w:r>
      <w:r>
        <w:rPr>
          <w:rStyle w:val="IvDbodytextChar"/>
          <w:i w:val="0"/>
          <w:color w:val="auto"/>
          <w:sz w:val="20"/>
          <w:szCs w:val="20"/>
        </w:rPr>
        <w:t>1</w:t>
      </w:r>
      <w:r w:rsidRPr="008D3B63">
        <w:rPr>
          <w:rStyle w:val="IvDbodytextChar"/>
          <w:i w:val="0"/>
          <w:color w:val="auto"/>
          <w:sz w:val="20"/>
          <w:szCs w:val="20"/>
        </w:rPr>
        <w:t xml:space="preserve"> (</w:t>
      </w:r>
      <w:r>
        <w:rPr>
          <w:rStyle w:val="IvDbodytextChar"/>
          <w:i w:val="0"/>
          <w:color w:val="auto"/>
          <w:sz w:val="20"/>
          <w:szCs w:val="20"/>
        </w:rPr>
        <w:t>1</w:t>
      </w:r>
      <w:r w:rsidRPr="008D3B63">
        <w:rPr>
          <w:rStyle w:val="IvDbodytextChar"/>
          <w:i w:val="0"/>
          <w:color w:val="auto"/>
          <w:sz w:val="20"/>
          <w:szCs w:val="20"/>
        </w:rPr>
        <w:t>) + floor(</w:t>
      </w:r>
      <w:r>
        <w:rPr>
          <w:rStyle w:val="IvDbodytextChar"/>
          <w:i w:val="0"/>
          <w:color w:val="auto"/>
          <w:sz w:val="20"/>
          <w:szCs w:val="20"/>
        </w:rPr>
        <w:t>1/3</w:t>
      </w:r>
      <w:r w:rsidRPr="008D3B63">
        <w:rPr>
          <w:rStyle w:val="IvDbodytextChar"/>
          <w:i w:val="0"/>
          <w:color w:val="auto"/>
          <w:sz w:val="20"/>
          <w:szCs w:val="20"/>
        </w:rPr>
        <w:t xml:space="preserve">) </w:t>
      </w:r>
      <w:r>
        <w:rPr>
          <w:rStyle w:val="IvDbodytextChar"/>
          <w:i w:val="0"/>
          <w:color w:val="auto"/>
          <w:sz w:val="20"/>
          <w:szCs w:val="20"/>
        </w:rPr>
        <w:t xml:space="preserve">= 2+1+0 = 3ms. If for HARQ process#3 which has its “HARQ feedback disabled” the </w:t>
      </w:r>
      <w:r>
        <w:t>“</w:t>
      </w:r>
      <w:r w:rsidRPr="00651D15">
        <w:rPr>
          <w:sz w:val="14"/>
          <w:szCs w:val="14"/>
          <w:lang w:val="en-US" w:eastAsia="x-none"/>
        </w:rPr>
        <w:t>UE is not required to monitor NPDCCH in a period of Y(ms) from the end of reception of the last NPDSCH</w:t>
      </w:r>
      <w:r>
        <w:t>”</w:t>
      </w:r>
      <w:r>
        <w:rPr>
          <w:rStyle w:val="IvDbodytextChar"/>
          <w:i w:val="0"/>
          <w:color w:val="auto"/>
          <w:sz w:val="20"/>
          <w:szCs w:val="20"/>
        </w:rPr>
        <w:t xml:space="preserve">, then with the updated Y = 3ms the UE won’t be required to monitor subframe #12, #13 and #14 and therefore would be able to start monitoring in DL from subframe #15 for a potential reception of a </w:t>
      </w:r>
      <w:r w:rsidR="00E032EC">
        <w:rPr>
          <w:rStyle w:val="IvDbodytextChar"/>
          <w:i w:val="0"/>
          <w:color w:val="auto"/>
          <w:sz w:val="20"/>
          <w:szCs w:val="20"/>
        </w:rPr>
        <w:t xml:space="preserve">subsequent </w:t>
      </w:r>
      <w:r>
        <w:rPr>
          <w:rStyle w:val="IvDbodytextChar"/>
          <w:i w:val="0"/>
          <w:color w:val="auto"/>
          <w:sz w:val="20"/>
          <w:szCs w:val="20"/>
        </w:rPr>
        <w:t>DL scheduling.</w:t>
      </w:r>
    </w:p>
    <w:p w14:paraId="337095D9" w14:textId="0148FC22" w:rsidR="007064A5" w:rsidRDefault="007064A5" w:rsidP="003D2B99">
      <w:pPr>
        <w:pStyle w:val="Reference"/>
        <w:numPr>
          <w:ilvl w:val="0"/>
          <w:numId w:val="0"/>
        </w:numPr>
      </w:pPr>
    </w:p>
    <w:sectPr w:rsidR="007064A5" w:rsidSect="007F4FA6">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C420269"/>
    <w:multiLevelType w:val="hybridMultilevel"/>
    <w:tmpl w:val="4C04C6F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E57882"/>
    <w:multiLevelType w:val="hybridMultilevel"/>
    <w:tmpl w:val="E2E61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B56626"/>
    <w:multiLevelType w:val="hybridMultilevel"/>
    <w:tmpl w:val="17FA58F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1DB14632"/>
    <w:multiLevelType w:val="hybridMultilevel"/>
    <w:tmpl w:val="4AE8315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D2063C"/>
    <w:multiLevelType w:val="hybridMultilevel"/>
    <w:tmpl w:val="A950E1A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10"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BA5CD8"/>
    <w:multiLevelType w:val="hybridMultilevel"/>
    <w:tmpl w:val="C852989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307C0"/>
    <w:multiLevelType w:val="hybridMultilevel"/>
    <w:tmpl w:val="18A60BC2"/>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5E2555"/>
    <w:multiLevelType w:val="hybridMultilevel"/>
    <w:tmpl w:val="2D6E542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63771D2"/>
    <w:multiLevelType w:val="hybridMultilevel"/>
    <w:tmpl w:val="B022A80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78C573CE"/>
    <w:multiLevelType w:val="hybridMultilevel"/>
    <w:tmpl w:val="F8AEB07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7A670205"/>
    <w:multiLevelType w:val="hybridMultilevel"/>
    <w:tmpl w:val="4B72DFCC"/>
    <w:lvl w:ilvl="0" w:tplc="9354762A">
      <w:start w:val="1"/>
      <w:numFmt w:val="bullet"/>
      <w:lvlText w:val="­"/>
      <w:lvlJc w:val="left"/>
      <w:pPr>
        <w:ind w:left="2421" w:hanging="360"/>
      </w:pPr>
      <w:rPr>
        <w:rFonts w:ascii="Calibri" w:hAnsi="Calibri" w:hint="default"/>
      </w:rPr>
    </w:lvl>
    <w:lvl w:ilvl="1" w:tplc="FFFFFFFF" w:tentative="1">
      <w:start w:val="1"/>
      <w:numFmt w:val="bullet"/>
      <w:lvlText w:val="o"/>
      <w:lvlJc w:val="left"/>
      <w:pPr>
        <w:ind w:left="3141" w:hanging="360"/>
      </w:pPr>
      <w:rPr>
        <w:rFonts w:ascii="Courier New" w:hAnsi="Courier New" w:cs="Courier New" w:hint="default"/>
      </w:rPr>
    </w:lvl>
    <w:lvl w:ilvl="2" w:tplc="FFFFFFFF" w:tentative="1">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3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7"/>
  </w:num>
  <w:num w:numId="2">
    <w:abstractNumId w:val="14"/>
  </w:num>
  <w:num w:numId="3">
    <w:abstractNumId w:val="0"/>
  </w:num>
  <w:num w:numId="4">
    <w:abstractNumId w:val="18"/>
  </w:num>
  <w:num w:numId="5">
    <w:abstractNumId w:val="19"/>
  </w:num>
  <w:num w:numId="6">
    <w:abstractNumId w:val="21"/>
  </w:num>
  <w:num w:numId="7">
    <w:abstractNumId w:val="7"/>
  </w:num>
  <w:num w:numId="8">
    <w:abstractNumId w:val="8"/>
  </w:num>
  <w:num w:numId="9">
    <w:abstractNumId w:val="2"/>
  </w:num>
  <w:num w:numId="10">
    <w:abstractNumId w:val="26"/>
  </w:num>
  <w:num w:numId="11">
    <w:abstractNumId w:val="13"/>
  </w:num>
  <w:num w:numId="12">
    <w:abstractNumId w:val="24"/>
  </w:num>
  <w:num w:numId="13">
    <w:abstractNumId w:val="12"/>
  </w:num>
  <w:num w:numId="14">
    <w:abstractNumId w:val="30"/>
  </w:num>
  <w:num w:numId="15">
    <w:abstractNumId w:val="25"/>
  </w:num>
  <w:num w:numId="16">
    <w:abstractNumId w:val="16"/>
  </w:num>
  <w:num w:numId="17">
    <w:abstractNumId w:val="10"/>
  </w:num>
  <w:num w:numId="18">
    <w:abstractNumId w:val="4"/>
  </w:num>
  <w:num w:numId="19">
    <w:abstractNumId w:val="5"/>
  </w:num>
  <w:num w:numId="20">
    <w:abstractNumId w:val="15"/>
  </w:num>
  <w:num w:numId="21">
    <w:abstractNumId w:val="11"/>
  </w:num>
  <w:num w:numId="22">
    <w:abstractNumId w:val="20"/>
  </w:num>
  <w:num w:numId="23">
    <w:abstractNumId w:val="3"/>
  </w:num>
  <w:num w:numId="24">
    <w:abstractNumId w:val="22"/>
  </w:num>
  <w:num w:numId="25">
    <w:abstractNumId w:val="29"/>
  </w:num>
  <w:num w:numId="26">
    <w:abstractNumId w:val="6"/>
  </w:num>
  <w:num w:numId="27">
    <w:abstractNumId w:val="9"/>
  </w:num>
  <w:num w:numId="28">
    <w:abstractNumId w:val="27"/>
  </w:num>
  <w:num w:numId="29">
    <w:abstractNumId w:val="1"/>
  </w:num>
  <w:num w:numId="30">
    <w:abstractNumId w:val="28"/>
  </w:num>
  <w:num w:numId="31">
    <w:abstractNumId w:val="31"/>
  </w:num>
  <w:num w:numId="3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874"/>
    <w:rsid w:val="0000197B"/>
    <w:rsid w:val="00001B53"/>
    <w:rsid w:val="00001B93"/>
    <w:rsid w:val="00002A37"/>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AFA"/>
    <w:rsid w:val="00034C15"/>
    <w:rsid w:val="00034F95"/>
    <w:rsid w:val="0003649D"/>
    <w:rsid w:val="00036668"/>
    <w:rsid w:val="00036BA1"/>
    <w:rsid w:val="00037C46"/>
    <w:rsid w:val="00037E3A"/>
    <w:rsid w:val="00040140"/>
    <w:rsid w:val="00040D70"/>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9B4"/>
    <w:rsid w:val="00044B91"/>
    <w:rsid w:val="00044EF0"/>
    <w:rsid w:val="0004513A"/>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665"/>
    <w:rsid w:val="00053781"/>
    <w:rsid w:val="00053982"/>
    <w:rsid w:val="00054A09"/>
    <w:rsid w:val="000550A6"/>
    <w:rsid w:val="0005606A"/>
    <w:rsid w:val="00057117"/>
    <w:rsid w:val="0005716B"/>
    <w:rsid w:val="0005747E"/>
    <w:rsid w:val="000574BC"/>
    <w:rsid w:val="000575BE"/>
    <w:rsid w:val="00057E78"/>
    <w:rsid w:val="00060177"/>
    <w:rsid w:val="00061031"/>
    <w:rsid w:val="000616E7"/>
    <w:rsid w:val="00061729"/>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081"/>
    <w:rsid w:val="000B5609"/>
    <w:rsid w:val="000B58C3"/>
    <w:rsid w:val="000B5C85"/>
    <w:rsid w:val="000B619F"/>
    <w:rsid w:val="000B61E9"/>
    <w:rsid w:val="000B6308"/>
    <w:rsid w:val="000B7585"/>
    <w:rsid w:val="000B7609"/>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9EB"/>
    <w:rsid w:val="000C4BD6"/>
    <w:rsid w:val="000C524E"/>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7D8"/>
    <w:rsid w:val="000E2BE6"/>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1E4"/>
    <w:rsid w:val="000F46C9"/>
    <w:rsid w:val="000F4DA4"/>
    <w:rsid w:val="000F5547"/>
    <w:rsid w:val="000F5A6A"/>
    <w:rsid w:val="000F5E93"/>
    <w:rsid w:val="000F5F34"/>
    <w:rsid w:val="000F61C2"/>
    <w:rsid w:val="000F6A04"/>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5D7F"/>
    <w:rsid w:val="00125F31"/>
    <w:rsid w:val="00126B4A"/>
    <w:rsid w:val="00127888"/>
    <w:rsid w:val="00127913"/>
    <w:rsid w:val="00127D44"/>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13EA"/>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689E"/>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123"/>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2C6"/>
    <w:rsid w:val="00165889"/>
    <w:rsid w:val="001659C1"/>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266"/>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801"/>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E0AA0"/>
    <w:rsid w:val="001E0D07"/>
    <w:rsid w:val="001E0D4D"/>
    <w:rsid w:val="001E11B2"/>
    <w:rsid w:val="001E1909"/>
    <w:rsid w:val="001E2C01"/>
    <w:rsid w:val="001E30FD"/>
    <w:rsid w:val="001E3242"/>
    <w:rsid w:val="001E39A8"/>
    <w:rsid w:val="001E3D49"/>
    <w:rsid w:val="001E3DE1"/>
    <w:rsid w:val="001E436E"/>
    <w:rsid w:val="001E58E2"/>
    <w:rsid w:val="001E5F9A"/>
    <w:rsid w:val="001E727B"/>
    <w:rsid w:val="001E76C4"/>
    <w:rsid w:val="001E7703"/>
    <w:rsid w:val="001E7AED"/>
    <w:rsid w:val="001F00D2"/>
    <w:rsid w:val="001F036F"/>
    <w:rsid w:val="001F04E9"/>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2A0A"/>
    <w:rsid w:val="00223BEF"/>
    <w:rsid w:val="00223CD0"/>
    <w:rsid w:val="00223DAA"/>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FA9"/>
    <w:rsid w:val="002500C8"/>
    <w:rsid w:val="00250683"/>
    <w:rsid w:val="0025078E"/>
    <w:rsid w:val="002509F8"/>
    <w:rsid w:val="00250BE3"/>
    <w:rsid w:val="0025102A"/>
    <w:rsid w:val="00251A92"/>
    <w:rsid w:val="00253241"/>
    <w:rsid w:val="00253322"/>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3D6"/>
    <w:rsid w:val="00267C83"/>
    <w:rsid w:val="00270A8D"/>
    <w:rsid w:val="00270DCA"/>
    <w:rsid w:val="0027144F"/>
    <w:rsid w:val="0027157A"/>
    <w:rsid w:val="00271813"/>
    <w:rsid w:val="0027186A"/>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838"/>
    <w:rsid w:val="002878A1"/>
    <w:rsid w:val="00287B3E"/>
    <w:rsid w:val="00287E98"/>
    <w:rsid w:val="00287FD6"/>
    <w:rsid w:val="002907B5"/>
    <w:rsid w:val="00290DB9"/>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57"/>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D45"/>
    <w:rsid w:val="002A7069"/>
    <w:rsid w:val="002A76BC"/>
    <w:rsid w:val="002A7A73"/>
    <w:rsid w:val="002A7CFF"/>
    <w:rsid w:val="002A7F3E"/>
    <w:rsid w:val="002B0094"/>
    <w:rsid w:val="002B01D9"/>
    <w:rsid w:val="002B03F5"/>
    <w:rsid w:val="002B0DEE"/>
    <w:rsid w:val="002B1001"/>
    <w:rsid w:val="002B103C"/>
    <w:rsid w:val="002B1150"/>
    <w:rsid w:val="002B129E"/>
    <w:rsid w:val="002B134E"/>
    <w:rsid w:val="002B17BC"/>
    <w:rsid w:val="002B1BF2"/>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29B6"/>
    <w:rsid w:val="002C2B26"/>
    <w:rsid w:val="002C35F8"/>
    <w:rsid w:val="002C3794"/>
    <w:rsid w:val="002C416D"/>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C2F"/>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DDD"/>
    <w:rsid w:val="002E5168"/>
    <w:rsid w:val="002E5443"/>
    <w:rsid w:val="002E5512"/>
    <w:rsid w:val="002E59EA"/>
    <w:rsid w:val="002E6052"/>
    <w:rsid w:val="002E7135"/>
    <w:rsid w:val="002E7559"/>
    <w:rsid w:val="002E777C"/>
    <w:rsid w:val="002E7BC5"/>
    <w:rsid w:val="002E7CAE"/>
    <w:rsid w:val="002F0350"/>
    <w:rsid w:val="002F13D6"/>
    <w:rsid w:val="002F14A5"/>
    <w:rsid w:val="002F1A54"/>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4EA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B6A"/>
    <w:rsid w:val="00375E4B"/>
    <w:rsid w:val="0037607A"/>
    <w:rsid w:val="00376D38"/>
    <w:rsid w:val="00376F7C"/>
    <w:rsid w:val="00377CE1"/>
    <w:rsid w:val="003809A1"/>
    <w:rsid w:val="00380A35"/>
    <w:rsid w:val="00381703"/>
    <w:rsid w:val="00381A54"/>
    <w:rsid w:val="00381D66"/>
    <w:rsid w:val="00382419"/>
    <w:rsid w:val="00382574"/>
    <w:rsid w:val="00382784"/>
    <w:rsid w:val="003837BA"/>
    <w:rsid w:val="00383824"/>
    <w:rsid w:val="0038508D"/>
    <w:rsid w:val="0038530E"/>
    <w:rsid w:val="00385BF0"/>
    <w:rsid w:val="00385F1C"/>
    <w:rsid w:val="003869DB"/>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523F"/>
    <w:rsid w:val="00396D2F"/>
    <w:rsid w:val="00396D8C"/>
    <w:rsid w:val="00397D2C"/>
    <w:rsid w:val="003A015D"/>
    <w:rsid w:val="003A01B4"/>
    <w:rsid w:val="003A023B"/>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2B99"/>
    <w:rsid w:val="003D3111"/>
    <w:rsid w:val="003D3804"/>
    <w:rsid w:val="003D386D"/>
    <w:rsid w:val="003D3C45"/>
    <w:rsid w:val="003D44FC"/>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501"/>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BD3"/>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4F4"/>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4F1"/>
    <w:rsid w:val="00496609"/>
    <w:rsid w:val="00496E87"/>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0C44"/>
    <w:rsid w:val="004C1A74"/>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DF"/>
    <w:rsid w:val="004E0D0B"/>
    <w:rsid w:val="004E1735"/>
    <w:rsid w:val="004E1B6C"/>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463E"/>
    <w:rsid w:val="00505B05"/>
    <w:rsid w:val="00506557"/>
    <w:rsid w:val="0050677A"/>
    <w:rsid w:val="0050713C"/>
    <w:rsid w:val="0050720D"/>
    <w:rsid w:val="00507274"/>
    <w:rsid w:val="005076AC"/>
    <w:rsid w:val="00507735"/>
    <w:rsid w:val="00510660"/>
    <w:rsid w:val="005107DC"/>
    <w:rsid w:val="005108D8"/>
    <w:rsid w:val="00511509"/>
    <w:rsid w:val="005116F9"/>
    <w:rsid w:val="00512F96"/>
    <w:rsid w:val="00512FDE"/>
    <w:rsid w:val="00513C16"/>
    <w:rsid w:val="005141FF"/>
    <w:rsid w:val="005142C8"/>
    <w:rsid w:val="005144A9"/>
    <w:rsid w:val="0051533F"/>
    <w:rsid w:val="005153A7"/>
    <w:rsid w:val="00515574"/>
    <w:rsid w:val="0051559F"/>
    <w:rsid w:val="005169B8"/>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2D9"/>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7EA"/>
    <w:rsid w:val="00540B70"/>
    <w:rsid w:val="00540D8B"/>
    <w:rsid w:val="005410A8"/>
    <w:rsid w:val="00541C8C"/>
    <w:rsid w:val="00541F68"/>
    <w:rsid w:val="00542B7F"/>
    <w:rsid w:val="00542D1F"/>
    <w:rsid w:val="00543190"/>
    <w:rsid w:val="00543701"/>
    <w:rsid w:val="0054416F"/>
    <w:rsid w:val="00544FF1"/>
    <w:rsid w:val="0054501A"/>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CB8"/>
    <w:rsid w:val="00584EC7"/>
    <w:rsid w:val="005867AB"/>
    <w:rsid w:val="00586CF6"/>
    <w:rsid w:val="00586F43"/>
    <w:rsid w:val="00586FF6"/>
    <w:rsid w:val="005876D4"/>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4771"/>
    <w:rsid w:val="005948C2"/>
    <w:rsid w:val="00594B03"/>
    <w:rsid w:val="005950B2"/>
    <w:rsid w:val="005958C6"/>
    <w:rsid w:val="00595DCA"/>
    <w:rsid w:val="00595DD0"/>
    <w:rsid w:val="00595DF5"/>
    <w:rsid w:val="00595EF1"/>
    <w:rsid w:val="00596B3B"/>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2EBA"/>
    <w:rsid w:val="005C544C"/>
    <w:rsid w:val="005C562E"/>
    <w:rsid w:val="005C6199"/>
    <w:rsid w:val="005C6D06"/>
    <w:rsid w:val="005C74FB"/>
    <w:rsid w:val="005C775D"/>
    <w:rsid w:val="005C7B84"/>
    <w:rsid w:val="005D04B5"/>
    <w:rsid w:val="005D0BD2"/>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5389"/>
    <w:rsid w:val="00645667"/>
    <w:rsid w:val="00645D44"/>
    <w:rsid w:val="0064607A"/>
    <w:rsid w:val="0064624E"/>
    <w:rsid w:val="00646DB5"/>
    <w:rsid w:val="00646E6A"/>
    <w:rsid w:val="00646FB9"/>
    <w:rsid w:val="006470DC"/>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69A"/>
    <w:rsid w:val="00674CC3"/>
    <w:rsid w:val="0067528F"/>
    <w:rsid w:val="00675993"/>
    <w:rsid w:val="00675B4B"/>
    <w:rsid w:val="00675C43"/>
    <w:rsid w:val="00675C72"/>
    <w:rsid w:val="00676681"/>
    <w:rsid w:val="006769C5"/>
    <w:rsid w:val="00676DA0"/>
    <w:rsid w:val="006771F9"/>
    <w:rsid w:val="006776D7"/>
    <w:rsid w:val="00677B52"/>
    <w:rsid w:val="0068034D"/>
    <w:rsid w:val="006806FA"/>
    <w:rsid w:val="00681003"/>
    <w:rsid w:val="006813F4"/>
    <w:rsid w:val="0068174B"/>
    <w:rsid w:val="006817C9"/>
    <w:rsid w:val="0068180E"/>
    <w:rsid w:val="00682826"/>
    <w:rsid w:val="00682D35"/>
    <w:rsid w:val="00682FE0"/>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4DCD"/>
    <w:rsid w:val="006B50CF"/>
    <w:rsid w:val="006B5A97"/>
    <w:rsid w:val="006B5B47"/>
    <w:rsid w:val="006B6277"/>
    <w:rsid w:val="006B62B3"/>
    <w:rsid w:val="006B6B5F"/>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5D4"/>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62"/>
    <w:rsid w:val="006E6A8D"/>
    <w:rsid w:val="006E71FA"/>
    <w:rsid w:val="006E7D3B"/>
    <w:rsid w:val="006F0EC4"/>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BD4"/>
    <w:rsid w:val="00713459"/>
    <w:rsid w:val="00714299"/>
    <w:rsid w:val="007148D3"/>
    <w:rsid w:val="00714D87"/>
    <w:rsid w:val="00714F08"/>
    <w:rsid w:val="0071515D"/>
    <w:rsid w:val="00715B93"/>
    <w:rsid w:val="00715B9A"/>
    <w:rsid w:val="00715F7F"/>
    <w:rsid w:val="00715FD6"/>
    <w:rsid w:val="0071714D"/>
    <w:rsid w:val="007172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10C"/>
    <w:rsid w:val="007A43A6"/>
    <w:rsid w:val="007A4797"/>
    <w:rsid w:val="007A4AA7"/>
    <w:rsid w:val="007A4DBE"/>
    <w:rsid w:val="007A541A"/>
    <w:rsid w:val="007A58A6"/>
    <w:rsid w:val="007A5CC1"/>
    <w:rsid w:val="007A5E11"/>
    <w:rsid w:val="007A62AE"/>
    <w:rsid w:val="007A62B7"/>
    <w:rsid w:val="007A699D"/>
    <w:rsid w:val="007A6CF5"/>
    <w:rsid w:val="007B02CB"/>
    <w:rsid w:val="007B05D6"/>
    <w:rsid w:val="007B1179"/>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E4D"/>
    <w:rsid w:val="007D31CB"/>
    <w:rsid w:val="007D412E"/>
    <w:rsid w:val="007D4B22"/>
    <w:rsid w:val="007D4EC1"/>
    <w:rsid w:val="007D57BF"/>
    <w:rsid w:val="007D5901"/>
    <w:rsid w:val="007D6045"/>
    <w:rsid w:val="007D6376"/>
    <w:rsid w:val="007D6D4C"/>
    <w:rsid w:val="007D7526"/>
    <w:rsid w:val="007D75B4"/>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881"/>
    <w:rsid w:val="007F4A63"/>
    <w:rsid w:val="007F4B2D"/>
    <w:rsid w:val="007F4B9B"/>
    <w:rsid w:val="007F4D47"/>
    <w:rsid w:val="007F4DE4"/>
    <w:rsid w:val="007F4FA6"/>
    <w:rsid w:val="007F6300"/>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777"/>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52E"/>
    <w:rsid w:val="008336E8"/>
    <w:rsid w:val="00833953"/>
    <w:rsid w:val="008341AC"/>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80"/>
    <w:rsid w:val="0084526D"/>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A34"/>
    <w:rsid w:val="00862B31"/>
    <w:rsid w:val="00863330"/>
    <w:rsid w:val="0086336C"/>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7F1"/>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30AC"/>
    <w:rsid w:val="008A3F08"/>
    <w:rsid w:val="008A44B8"/>
    <w:rsid w:val="008A48F1"/>
    <w:rsid w:val="008A51A8"/>
    <w:rsid w:val="008A51AD"/>
    <w:rsid w:val="008A54C7"/>
    <w:rsid w:val="008A550B"/>
    <w:rsid w:val="008A56F6"/>
    <w:rsid w:val="008A6A49"/>
    <w:rsid w:val="008A6C71"/>
    <w:rsid w:val="008A6E9C"/>
    <w:rsid w:val="008A71FC"/>
    <w:rsid w:val="008A7424"/>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3F5"/>
    <w:rsid w:val="008C1A45"/>
    <w:rsid w:val="008C1CD5"/>
    <w:rsid w:val="008C1D03"/>
    <w:rsid w:val="008C1E30"/>
    <w:rsid w:val="008C2017"/>
    <w:rsid w:val="008C218C"/>
    <w:rsid w:val="008C234A"/>
    <w:rsid w:val="008C2A19"/>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BB9"/>
    <w:rsid w:val="008E6DF5"/>
    <w:rsid w:val="008E7001"/>
    <w:rsid w:val="008E7050"/>
    <w:rsid w:val="008E7A27"/>
    <w:rsid w:val="008F01A6"/>
    <w:rsid w:val="008F0232"/>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5E3A"/>
    <w:rsid w:val="008F68A5"/>
    <w:rsid w:val="008F6F45"/>
    <w:rsid w:val="008F70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410"/>
    <w:rsid w:val="00915512"/>
    <w:rsid w:val="00916079"/>
    <w:rsid w:val="0091686D"/>
    <w:rsid w:val="009172CE"/>
    <w:rsid w:val="00917323"/>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CE2"/>
    <w:rsid w:val="00927E84"/>
    <w:rsid w:val="00930221"/>
    <w:rsid w:val="00930340"/>
    <w:rsid w:val="0093062E"/>
    <w:rsid w:val="009311DC"/>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71D"/>
    <w:rsid w:val="0095306B"/>
    <w:rsid w:val="00953523"/>
    <w:rsid w:val="009538F5"/>
    <w:rsid w:val="00953920"/>
    <w:rsid w:val="00953D47"/>
    <w:rsid w:val="00953ED3"/>
    <w:rsid w:val="00954AB3"/>
    <w:rsid w:val="0095537C"/>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1B9"/>
    <w:rsid w:val="009A462D"/>
    <w:rsid w:val="009A4A6C"/>
    <w:rsid w:val="009A4F92"/>
    <w:rsid w:val="009A50FE"/>
    <w:rsid w:val="009A5A1C"/>
    <w:rsid w:val="009A5CBA"/>
    <w:rsid w:val="009A64A4"/>
    <w:rsid w:val="009A64D0"/>
    <w:rsid w:val="009A6F2F"/>
    <w:rsid w:val="009A74A0"/>
    <w:rsid w:val="009A7640"/>
    <w:rsid w:val="009A77BB"/>
    <w:rsid w:val="009A7AD5"/>
    <w:rsid w:val="009A7AE7"/>
    <w:rsid w:val="009A7E6D"/>
    <w:rsid w:val="009B01D0"/>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1CB"/>
    <w:rsid w:val="00A0029B"/>
    <w:rsid w:val="00A00456"/>
    <w:rsid w:val="00A00EC6"/>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352A"/>
    <w:rsid w:val="00A136D1"/>
    <w:rsid w:val="00A13E54"/>
    <w:rsid w:val="00A13F97"/>
    <w:rsid w:val="00A14031"/>
    <w:rsid w:val="00A141EA"/>
    <w:rsid w:val="00A167D8"/>
    <w:rsid w:val="00A16C07"/>
    <w:rsid w:val="00A16C46"/>
    <w:rsid w:val="00A1729C"/>
    <w:rsid w:val="00A177F5"/>
    <w:rsid w:val="00A17C8B"/>
    <w:rsid w:val="00A17F63"/>
    <w:rsid w:val="00A20044"/>
    <w:rsid w:val="00A2057B"/>
    <w:rsid w:val="00A205DD"/>
    <w:rsid w:val="00A20AFE"/>
    <w:rsid w:val="00A2118C"/>
    <w:rsid w:val="00A214A7"/>
    <w:rsid w:val="00A21606"/>
    <w:rsid w:val="00A2193B"/>
    <w:rsid w:val="00A2196A"/>
    <w:rsid w:val="00A21AB7"/>
    <w:rsid w:val="00A22997"/>
    <w:rsid w:val="00A22C02"/>
    <w:rsid w:val="00A2351A"/>
    <w:rsid w:val="00A23695"/>
    <w:rsid w:val="00A23B6E"/>
    <w:rsid w:val="00A23CAB"/>
    <w:rsid w:val="00A23E4D"/>
    <w:rsid w:val="00A24B8B"/>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A77"/>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5F1"/>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1D6"/>
    <w:rsid w:val="00AA57B5"/>
    <w:rsid w:val="00AA5B37"/>
    <w:rsid w:val="00AA5E1B"/>
    <w:rsid w:val="00AA61CF"/>
    <w:rsid w:val="00AA63E3"/>
    <w:rsid w:val="00AA6A86"/>
    <w:rsid w:val="00AA6AA6"/>
    <w:rsid w:val="00AA6DEC"/>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BC6"/>
    <w:rsid w:val="00AD6050"/>
    <w:rsid w:val="00AD660D"/>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329"/>
    <w:rsid w:val="00AF7F61"/>
    <w:rsid w:val="00B003C1"/>
    <w:rsid w:val="00B006FE"/>
    <w:rsid w:val="00B007CB"/>
    <w:rsid w:val="00B008F8"/>
    <w:rsid w:val="00B0173F"/>
    <w:rsid w:val="00B02AA9"/>
    <w:rsid w:val="00B02FA3"/>
    <w:rsid w:val="00B03093"/>
    <w:rsid w:val="00B0348E"/>
    <w:rsid w:val="00B037D1"/>
    <w:rsid w:val="00B03C21"/>
    <w:rsid w:val="00B04158"/>
    <w:rsid w:val="00B04A86"/>
    <w:rsid w:val="00B04EBA"/>
    <w:rsid w:val="00B05084"/>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3B9"/>
    <w:rsid w:val="00B21451"/>
    <w:rsid w:val="00B2194E"/>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4834"/>
    <w:rsid w:val="00B44DED"/>
    <w:rsid w:val="00B45050"/>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94"/>
    <w:rsid w:val="00BB42D8"/>
    <w:rsid w:val="00BB4CEF"/>
    <w:rsid w:val="00BB5192"/>
    <w:rsid w:val="00BB51E9"/>
    <w:rsid w:val="00BB5989"/>
    <w:rsid w:val="00BB60EE"/>
    <w:rsid w:val="00BB6153"/>
    <w:rsid w:val="00BB66F1"/>
    <w:rsid w:val="00BB676F"/>
    <w:rsid w:val="00BB722B"/>
    <w:rsid w:val="00BB7649"/>
    <w:rsid w:val="00BB7C16"/>
    <w:rsid w:val="00BC0035"/>
    <w:rsid w:val="00BC00CA"/>
    <w:rsid w:val="00BC0FDC"/>
    <w:rsid w:val="00BC1AF2"/>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7406"/>
    <w:rsid w:val="00BE7603"/>
    <w:rsid w:val="00BF069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99F"/>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33C"/>
    <w:rsid w:val="00C4547A"/>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5383"/>
    <w:rsid w:val="00C6641A"/>
    <w:rsid w:val="00C671C4"/>
    <w:rsid w:val="00C67D20"/>
    <w:rsid w:val="00C67E54"/>
    <w:rsid w:val="00C700CB"/>
    <w:rsid w:val="00C70455"/>
    <w:rsid w:val="00C70697"/>
    <w:rsid w:val="00C7095F"/>
    <w:rsid w:val="00C71FC1"/>
    <w:rsid w:val="00C72093"/>
    <w:rsid w:val="00C723E3"/>
    <w:rsid w:val="00C7263A"/>
    <w:rsid w:val="00C72770"/>
    <w:rsid w:val="00C72B37"/>
    <w:rsid w:val="00C72EF4"/>
    <w:rsid w:val="00C72F1F"/>
    <w:rsid w:val="00C73B7F"/>
    <w:rsid w:val="00C73E18"/>
    <w:rsid w:val="00C73E7A"/>
    <w:rsid w:val="00C7435A"/>
    <w:rsid w:val="00C7438C"/>
    <w:rsid w:val="00C744FE"/>
    <w:rsid w:val="00C74679"/>
    <w:rsid w:val="00C7471D"/>
    <w:rsid w:val="00C748DD"/>
    <w:rsid w:val="00C74B83"/>
    <w:rsid w:val="00C74BFE"/>
    <w:rsid w:val="00C75CB0"/>
    <w:rsid w:val="00C75D2F"/>
    <w:rsid w:val="00C767BE"/>
    <w:rsid w:val="00C76E18"/>
    <w:rsid w:val="00C76E3C"/>
    <w:rsid w:val="00C77E81"/>
    <w:rsid w:val="00C77F90"/>
    <w:rsid w:val="00C8045A"/>
    <w:rsid w:val="00C808E9"/>
    <w:rsid w:val="00C80A0C"/>
    <w:rsid w:val="00C81176"/>
    <w:rsid w:val="00C81293"/>
    <w:rsid w:val="00C81568"/>
    <w:rsid w:val="00C81850"/>
    <w:rsid w:val="00C820BB"/>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7A"/>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3B2"/>
    <w:rsid w:val="00CA5E29"/>
    <w:rsid w:val="00CA5E74"/>
    <w:rsid w:val="00CA620D"/>
    <w:rsid w:val="00CA623D"/>
    <w:rsid w:val="00CA6CAA"/>
    <w:rsid w:val="00CA7045"/>
    <w:rsid w:val="00CA7D0A"/>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30F7"/>
    <w:rsid w:val="00D0349B"/>
    <w:rsid w:val="00D03E26"/>
    <w:rsid w:val="00D03FAB"/>
    <w:rsid w:val="00D044EB"/>
    <w:rsid w:val="00D0467F"/>
    <w:rsid w:val="00D0517B"/>
    <w:rsid w:val="00D0596C"/>
    <w:rsid w:val="00D05973"/>
    <w:rsid w:val="00D0634C"/>
    <w:rsid w:val="00D068B5"/>
    <w:rsid w:val="00D0713C"/>
    <w:rsid w:val="00D07DFC"/>
    <w:rsid w:val="00D10249"/>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7F8"/>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5D86"/>
    <w:rsid w:val="00D66155"/>
    <w:rsid w:val="00D670A2"/>
    <w:rsid w:val="00D678B4"/>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87FF3"/>
    <w:rsid w:val="00D900A7"/>
    <w:rsid w:val="00D90608"/>
    <w:rsid w:val="00D90AC3"/>
    <w:rsid w:val="00D90C37"/>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1DA"/>
    <w:rsid w:val="00DC18D1"/>
    <w:rsid w:val="00DC19AA"/>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A43"/>
    <w:rsid w:val="00DC6D45"/>
    <w:rsid w:val="00DC6F42"/>
    <w:rsid w:val="00DC7003"/>
    <w:rsid w:val="00DC7247"/>
    <w:rsid w:val="00DC7B6A"/>
    <w:rsid w:val="00DC7C4B"/>
    <w:rsid w:val="00DC7D12"/>
    <w:rsid w:val="00DC7DC3"/>
    <w:rsid w:val="00DD0268"/>
    <w:rsid w:val="00DD0429"/>
    <w:rsid w:val="00DD046A"/>
    <w:rsid w:val="00DD0AE2"/>
    <w:rsid w:val="00DD11BB"/>
    <w:rsid w:val="00DD1749"/>
    <w:rsid w:val="00DD2C53"/>
    <w:rsid w:val="00DD36DB"/>
    <w:rsid w:val="00DD42C6"/>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323C"/>
    <w:rsid w:val="00DF3761"/>
    <w:rsid w:val="00DF37A0"/>
    <w:rsid w:val="00DF40A4"/>
    <w:rsid w:val="00DF4E01"/>
    <w:rsid w:val="00DF5085"/>
    <w:rsid w:val="00DF5B3C"/>
    <w:rsid w:val="00DF5C95"/>
    <w:rsid w:val="00DF5DE2"/>
    <w:rsid w:val="00DF648F"/>
    <w:rsid w:val="00DF6D47"/>
    <w:rsid w:val="00DF7380"/>
    <w:rsid w:val="00DF74BE"/>
    <w:rsid w:val="00E00A71"/>
    <w:rsid w:val="00E00D01"/>
    <w:rsid w:val="00E012EF"/>
    <w:rsid w:val="00E0166E"/>
    <w:rsid w:val="00E0196B"/>
    <w:rsid w:val="00E0196E"/>
    <w:rsid w:val="00E01C9A"/>
    <w:rsid w:val="00E0236B"/>
    <w:rsid w:val="00E0251B"/>
    <w:rsid w:val="00E02E71"/>
    <w:rsid w:val="00E032EC"/>
    <w:rsid w:val="00E0377A"/>
    <w:rsid w:val="00E03813"/>
    <w:rsid w:val="00E04F6C"/>
    <w:rsid w:val="00E058A0"/>
    <w:rsid w:val="00E05C63"/>
    <w:rsid w:val="00E05C75"/>
    <w:rsid w:val="00E05CD2"/>
    <w:rsid w:val="00E061F8"/>
    <w:rsid w:val="00E062B9"/>
    <w:rsid w:val="00E0677A"/>
    <w:rsid w:val="00E06E16"/>
    <w:rsid w:val="00E101D2"/>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2F8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57F43"/>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1DD5"/>
    <w:rsid w:val="00E728EF"/>
    <w:rsid w:val="00E72EFC"/>
    <w:rsid w:val="00E732B3"/>
    <w:rsid w:val="00E73586"/>
    <w:rsid w:val="00E7380B"/>
    <w:rsid w:val="00E74410"/>
    <w:rsid w:val="00E745F1"/>
    <w:rsid w:val="00E74842"/>
    <w:rsid w:val="00E7547F"/>
    <w:rsid w:val="00E758EC"/>
    <w:rsid w:val="00E76258"/>
    <w:rsid w:val="00E7626B"/>
    <w:rsid w:val="00E7631F"/>
    <w:rsid w:val="00E76548"/>
    <w:rsid w:val="00E76553"/>
    <w:rsid w:val="00E76604"/>
    <w:rsid w:val="00E766E1"/>
    <w:rsid w:val="00E767DC"/>
    <w:rsid w:val="00E76987"/>
    <w:rsid w:val="00E76BA3"/>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960"/>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31D"/>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69E"/>
    <w:rsid w:val="00F147D2"/>
    <w:rsid w:val="00F14CDA"/>
    <w:rsid w:val="00F14E55"/>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40B"/>
    <w:rsid w:val="00F3396A"/>
    <w:rsid w:val="00F33D16"/>
    <w:rsid w:val="00F33FF8"/>
    <w:rsid w:val="00F340F0"/>
    <w:rsid w:val="00F34CF2"/>
    <w:rsid w:val="00F353CC"/>
    <w:rsid w:val="00F35991"/>
    <w:rsid w:val="00F35DDA"/>
    <w:rsid w:val="00F36616"/>
    <w:rsid w:val="00F3676D"/>
    <w:rsid w:val="00F36862"/>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2F"/>
    <w:rsid w:val="00F43E32"/>
    <w:rsid w:val="00F44CC0"/>
    <w:rsid w:val="00F45173"/>
    <w:rsid w:val="00F4578F"/>
    <w:rsid w:val="00F46683"/>
    <w:rsid w:val="00F468E9"/>
    <w:rsid w:val="00F46EF1"/>
    <w:rsid w:val="00F4757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3FD4"/>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C43"/>
    <w:rsid w:val="00F8456C"/>
    <w:rsid w:val="00F84798"/>
    <w:rsid w:val="00F853DF"/>
    <w:rsid w:val="00F856A7"/>
    <w:rsid w:val="00F8572F"/>
    <w:rsid w:val="00F859D8"/>
    <w:rsid w:val="00F863AF"/>
    <w:rsid w:val="00F8678E"/>
    <w:rsid w:val="00F868F5"/>
    <w:rsid w:val="00F86B15"/>
    <w:rsid w:val="00F86BC2"/>
    <w:rsid w:val="00F87877"/>
    <w:rsid w:val="00F901AD"/>
    <w:rsid w:val="00F904AD"/>
    <w:rsid w:val="00F9056A"/>
    <w:rsid w:val="00F9064B"/>
    <w:rsid w:val="00F909D2"/>
    <w:rsid w:val="00F90B15"/>
    <w:rsid w:val="00F90F8D"/>
    <w:rsid w:val="00F91181"/>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8F6"/>
    <w:rsid w:val="00FA1BF8"/>
    <w:rsid w:val="00FA1CD8"/>
    <w:rsid w:val="00FA29E6"/>
    <w:rsid w:val="00FA2BB3"/>
    <w:rsid w:val="00FA317C"/>
    <w:rsid w:val="00FA33FF"/>
    <w:rsid w:val="00FA3914"/>
    <w:rsid w:val="00FA39E7"/>
    <w:rsid w:val="00FA3D46"/>
    <w:rsid w:val="00FA4186"/>
    <w:rsid w:val="00FA4802"/>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31AE"/>
    <w:rsid w:val="00FC35BF"/>
    <w:rsid w:val="00FC415D"/>
    <w:rsid w:val="00FC43C3"/>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F5"/>
    <w:rsid w:val="00FF7510"/>
    <w:rsid w:val="00FF7596"/>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ARQ_feedbac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3gpp.org/ftp/tsg_ran/WG1_RL1/TSGR1_110/Docs/R1-220794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9-e/Docs/R1-22054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documentManagement/types"/>
    <ds:schemaRef ds:uri="http://schemas.openxmlformats.org/package/2006/metadata/core-properties"/>
    <ds:schemaRef ds:uri="http://purl.org/dc/elements/1.1/"/>
    <ds:schemaRef ds:uri="http://purl.org/dc/dcmitype/"/>
    <ds:schemaRef ds:uri="http://www.w3.org/XML/1998/namespace"/>
    <ds:schemaRef ds:uri="9b239327-9e80-40e4-b1b7-4394fed77a33"/>
    <ds:schemaRef ds:uri="http://schemas.microsoft.com/office/2006/metadata/properties"/>
    <ds:schemaRef ds:uri="http://schemas.microsoft.com/office/infopath/2007/PartnerControls"/>
    <ds:schemaRef ds:uri="http://purl.org/dc/term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880</TotalTime>
  <Pages>17</Pages>
  <Words>8498</Words>
  <Characters>45454</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91</cp:revision>
  <cp:lastPrinted>2008-01-30T22:09:00Z</cp:lastPrinted>
  <dcterms:created xsi:type="dcterms:W3CDTF">2022-09-15T11:10:00Z</dcterms:created>
  <dcterms:modified xsi:type="dcterms:W3CDTF">2022-09-30T08:09:00Z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